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>
      <w:pPr>
        <w:jc w:val="right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68199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681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5C0B4E" w:rsidP="005C0B4E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5C0B4E">
                                    <w:rPr>
                                      <w:lang w:eastAsia="ar-SA"/>
                                    </w:rPr>
                                    <w:t>16 июня 2022 год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                  </w:t>
                                  </w:r>
                                  <w:r w:rsidR="008437F6">
                                    <w:t xml:space="preserve">    </w:t>
                                  </w:r>
                                  <w:r w:rsidR="009C71A3">
                                    <w:t xml:space="preserve">       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</w:t>
                                  </w:r>
                                  <w:r>
                                    <w:t xml:space="preserve">     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</w:t>
                                  </w:r>
                                  <w:r>
                                    <w:t xml:space="preserve">            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>№</w:t>
                                  </w:r>
                                  <w:r>
                                    <w:t xml:space="preserve"> 862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303A29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от 22.03.2022 № 369)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 w:rsidP="00046732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В соответствии со ст. 179 Бюджетного Кодекса РФ, руководствуясь Уставом МР «Дзержинский район»,</w:t>
                                  </w:r>
                                  <w:r w:rsidR="001521FD">
                                    <w:t xml:space="preserve"> </w:t>
                                  </w:r>
                                  <w:r w:rsidR="001521FD" w:rsidRPr="00B17AC4">
                                    <w:t>Протоколом заседания Совета по целевым программам админис</w:t>
                                  </w:r>
                                  <w:r w:rsidR="001521FD">
                                    <w:t>трации Дзержинского района от</w:t>
                                  </w:r>
                                  <w:r w:rsidR="00046732">
                                    <w:t xml:space="preserve"> 01.06.2022 </w:t>
                                  </w:r>
                                  <w:r w:rsidR="000417A0">
                                    <w:t>№</w:t>
                                  </w:r>
                                  <w:r w:rsidR="00046732">
                                    <w:t xml:space="preserve"> 57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 от 22.03.2022 № 369)</w:t>
                                  </w:r>
                                  <w:r>
                                    <w:t>.</w:t>
                                  </w:r>
                                  <w:r w:rsidR="008437F6">
                                    <w:t xml:space="preserve"> 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 xml:space="preserve">3. </w:t>
                                  </w:r>
                                  <w:proofErr w:type="gramStart"/>
                                  <w:r>
                                    <w:t>Контроль за</w:t>
                                  </w:r>
                                  <w:proofErr w:type="gramEnd"/>
                                  <w:r>
      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      </w:r>
                                  <w:proofErr w:type="spellStart"/>
                                  <w:r>
                                    <w:t>Гусарова</w:t>
                                  </w:r>
                                  <w:proofErr w:type="spellEnd"/>
                                  <w:r>
                                    <w:t xml:space="preserve"> А.А.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3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5C0B4E" w:rsidP="005C0B4E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5C0B4E">
                              <w:rPr>
                                <w:lang w:eastAsia="ar-SA"/>
                              </w:rPr>
                              <w:t>16 июня 2022 год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  <w:t xml:space="preserve">                   </w:t>
                            </w:r>
                            <w:r w:rsidR="008437F6">
                              <w:t xml:space="preserve">    </w:t>
                            </w:r>
                            <w:r w:rsidR="009C71A3">
                              <w:t xml:space="preserve">       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</w:t>
                            </w:r>
                            <w:r>
                              <w:t xml:space="preserve">     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</w:t>
                            </w:r>
                            <w:r>
                              <w:t xml:space="preserve">            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>№</w:t>
                            </w:r>
                            <w:r>
                              <w:t xml:space="preserve"> 862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303A29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от 22.03.2022 № 369)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 w:rsidP="00046732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В соответствии со ст. 179 Бюджетного Кодекса РФ, руководствуясь Уставом МР «Дзержинский район»,</w:t>
                            </w:r>
                            <w:r w:rsidR="001521FD">
                              <w:t xml:space="preserve"> </w:t>
                            </w:r>
                            <w:r w:rsidR="001521FD" w:rsidRPr="00B17AC4">
                              <w:t>Протоколом заседания Совета по целевым программам админис</w:t>
                            </w:r>
                            <w:r w:rsidR="001521FD">
                              <w:t>трации Дзержинского района от</w:t>
                            </w:r>
                            <w:r w:rsidR="00046732">
                              <w:t xml:space="preserve"> 01.06.2022 </w:t>
                            </w:r>
                            <w:r w:rsidR="000417A0">
                              <w:t>№</w:t>
                            </w:r>
                            <w:r w:rsidR="00046732">
                              <w:t xml:space="preserve"> 57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 от 22.03.2022 № 369)</w:t>
                            </w:r>
                            <w:r>
                              <w:t>.</w:t>
                            </w:r>
                            <w:r w:rsidR="008437F6">
                              <w:t xml:space="preserve"> 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 xml:space="preserve">3.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настоящего постановления возложить на заместителя главы администрации Дзержинского района </w:t>
                            </w:r>
                            <w:proofErr w:type="spellStart"/>
                            <w:r>
                              <w:t>Гусарова</w:t>
                            </w:r>
                            <w:proofErr w:type="spellEnd"/>
                            <w:r>
                              <w:t xml:space="preserve"> А.А.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8437F6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C0B4E">
        <w:rPr>
          <w:sz w:val="20"/>
          <w:szCs w:val="20"/>
        </w:rPr>
        <w:t xml:space="preserve"> 862 </w:t>
      </w:r>
      <w:r w:rsidR="00B8432A">
        <w:rPr>
          <w:sz w:val="20"/>
          <w:szCs w:val="20"/>
        </w:rPr>
        <w:t>от</w:t>
      </w:r>
      <w:r w:rsidR="005C0B4E">
        <w:rPr>
          <w:sz w:val="20"/>
          <w:szCs w:val="20"/>
        </w:rPr>
        <w:t xml:space="preserve"> 16.06.2022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C85211" w:rsidP="00046732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3 0</w:t>
            </w:r>
            <w:r w:rsidR="00046732">
              <w:rPr>
                <w:bCs/>
                <w:color w:val="000000"/>
              </w:rPr>
              <w:t>61</w:t>
            </w:r>
            <w:r w:rsidRPr="004D4A48">
              <w:rPr>
                <w:bCs/>
                <w:color w:val="000000"/>
              </w:rPr>
              <w:t> </w:t>
            </w:r>
            <w:r w:rsidR="004D4A48">
              <w:rPr>
                <w:bCs/>
                <w:color w:val="000000"/>
              </w:rPr>
              <w:t>630</w:t>
            </w:r>
            <w:r w:rsidRPr="004D4A48">
              <w:rPr>
                <w:bCs/>
                <w:color w:val="000000"/>
              </w:rPr>
              <w:t>,</w:t>
            </w:r>
            <w:r w:rsidR="004D4A48">
              <w:rPr>
                <w:bCs/>
                <w:color w:val="000000"/>
              </w:rPr>
              <w:t>4</w:t>
            </w:r>
            <w:r w:rsidRPr="004D4A48">
              <w:rPr>
                <w:bCs/>
                <w:color w:val="000000"/>
              </w:rPr>
              <w:t>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046732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4D4A48">
              <w:rPr>
                <w:bCs/>
                <w:color w:val="000000"/>
              </w:rPr>
              <w:t> </w:t>
            </w:r>
            <w:r w:rsidRPr="004D4A48">
              <w:rPr>
                <w:bCs/>
                <w:color w:val="000000"/>
              </w:rPr>
              <w:t>0</w:t>
            </w:r>
            <w:r w:rsidR="00046732">
              <w:rPr>
                <w:bCs/>
                <w:color w:val="000000"/>
              </w:rPr>
              <w:t>29</w:t>
            </w:r>
            <w:r w:rsidR="004D4A48">
              <w:rPr>
                <w:bCs/>
                <w:color w:val="000000"/>
              </w:rPr>
              <w:t> 770,49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3 082 991,78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2 909 299,18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173 692,60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3 003 965,62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2 901 396,62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102 569,00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2 890 000,00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0F23DE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2 890 000,00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864A8E" w:rsidP="00046732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1</w:t>
            </w:r>
            <w:r w:rsidR="00C85211" w:rsidRPr="004D4A48">
              <w:rPr>
                <w:bCs/>
                <w:color w:val="000000"/>
              </w:rPr>
              <w:t>6</w:t>
            </w:r>
            <w:r w:rsidR="004D4A48">
              <w:rPr>
                <w:bCs/>
                <w:color w:val="000000"/>
              </w:rPr>
              <w:t> 4</w:t>
            </w:r>
            <w:r w:rsidR="00046732">
              <w:rPr>
                <w:bCs/>
                <w:color w:val="000000"/>
              </w:rPr>
              <w:t>99</w:t>
            </w:r>
            <w:r w:rsidR="004D4A48">
              <w:rPr>
                <w:bCs/>
                <w:color w:val="000000"/>
              </w:rPr>
              <w:t> 069,86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6A50CB" w:rsidP="00046732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1</w:t>
            </w:r>
            <w:r w:rsidR="00C85211" w:rsidRPr="004D4A48">
              <w:rPr>
                <w:bCs/>
                <w:color w:val="000000"/>
              </w:rPr>
              <w:t>5</w:t>
            </w:r>
            <w:r w:rsidR="00046732">
              <w:rPr>
                <w:bCs/>
                <w:color w:val="000000"/>
              </w:rPr>
              <w:t> 709 198,20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0F23DE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809</w:t>
            </w:r>
            <w:r w:rsidR="008437F6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</w:t>
            </w:r>
            <w:r w:rsidR="00E537B4" w:rsidRPr="00C63B80">
              <w:rPr>
                <w:bCs/>
                <w:color w:val="000000"/>
              </w:rPr>
              <w:t>7</w:t>
            </w:r>
            <w:r w:rsidR="008437F6" w:rsidRPr="00C63B80">
              <w:rPr>
                <w:bCs/>
                <w:color w:val="000000"/>
              </w:rPr>
              <w:t>2,40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lastRenderedPageBreak/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1" w:name="OLE_LINK5"/>
      <w:bookmarkStart w:id="2" w:name="OLE_LINK4"/>
      <w:bookmarkEnd w:id="1"/>
      <w:bookmarkEnd w:id="2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  <w:proofErr w:type="gramEnd"/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 xml:space="preserve">Реализация муниципальной программы осуществляется на основе законодательства Российской Федерации, </w:t>
      </w:r>
      <w:proofErr w:type="gramStart"/>
      <w:r w:rsidRPr="00FD62AB">
        <w:rPr>
          <w:bCs/>
          <w:lang w:val="ru-RU"/>
        </w:rPr>
        <w:t>действующих</w:t>
      </w:r>
      <w:proofErr w:type="gramEnd"/>
      <w:r w:rsidRPr="00FD62AB">
        <w:rPr>
          <w:bCs/>
          <w:lang w:val="ru-RU"/>
        </w:rPr>
        <w:t xml:space="preserve">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>
        <w:t xml:space="preserve">поселения </w:t>
      </w:r>
      <w:bookmarkEnd w:id="3"/>
      <w:bookmarkEnd w:id="4"/>
      <w:bookmarkEnd w:id="5"/>
      <w:bookmarkEnd w:id="6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7" w:name="OLE_LINK43"/>
      <w:bookmarkStart w:id="8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p w:rsidR="00A44AE5" w:rsidRDefault="00A44AE5">
      <w:pPr>
        <w:ind w:firstLine="709"/>
        <w:jc w:val="both"/>
      </w:pP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20343E" w:rsidTr="00533666">
        <w:trPr>
          <w:trHeight w:val="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20343E" w:rsidRDefault="0020343E" w:rsidP="00021CD0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784A49" w:rsidP="0004673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4D4A48">
              <w:rPr>
                <w:bCs/>
                <w:color w:val="000000"/>
                <w:sz w:val="20"/>
                <w:szCs w:val="20"/>
              </w:rPr>
              <w:t>3 0</w:t>
            </w:r>
            <w:r w:rsidR="00046732">
              <w:rPr>
                <w:bCs/>
                <w:color w:val="000000"/>
                <w:sz w:val="20"/>
                <w:szCs w:val="20"/>
              </w:rPr>
              <w:t>29</w:t>
            </w:r>
            <w:r w:rsidR="004D4A48">
              <w:rPr>
                <w:bCs/>
                <w:color w:val="000000"/>
                <w:sz w:val="20"/>
                <w:szCs w:val="20"/>
              </w:rPr>
              <w:t> 770,49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2 909 299,18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2 901 396,62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2 890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20343E">
            <w:pPr>
              <w:jc w:val="right"/>
              <w:outlineLvl w:val="4"/>
            </w:pPr>
            <w:r w:rsidRPr="00803DA3">
              <w:rPr>
                <w:color w:val="000000"/>
                <w:sz w:val="20"/>
                <w:szCs w:val="20"/>
              </w:rPr>
              <w:t>173 692,60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102 569,00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803DA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C63B80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4673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Pr="004D4A48">
              <w:rPr>
                <w:b/>
                <w:color w:val="000000"/>
                <w:sz w:val="20"/>
                <w:szCs w:val="20"/>
              </w:rPr>
              <w:t>0</w:t>
            </w:r>
            <w:r w:rsidR="00046732">
              <w:rPr>
                <w:b/>
                <w:color w:val="000000"/>
                <w:sz w:val="20"/>
                <w:szCs w:val="20"/>
              </w:rPr>
              <w:t>61</w:t>
            </w:r>
            <w:r w:rsidR="004D4A48">
              <w:rPr>
                <w:b/>
                <w:color w:val="000000"/>
                <w:sz w:val="20"/>
                <w:szCs w:val="20"/>
              </w:rPr>
              <w:t> 630,49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20343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3 082 991,78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20343E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3 003 965,62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803DA3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2 890 000,00</w:t>
            </w:r>
          </w:p>
        </w:tc>
      </w:tr>
      <w:tr w:rsidR="0020343E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6</w:t>
            </w:r>
            <w:r w:rsidR="00C63B80">
              <w:rPr>
                <w:sz w:val="20"/>
                <w:szCs w:val="20"/>
              </w:rPr>
              <w:t> </w:t>
            </w:r>
            <w:r w:rsidRPr="00C63B80">
              <w:rPr>
                <w:sz w:val="20"/>
                <w:szCs w:val="20"/>
              </w:rPr>
              <w:t>630</w:t>
            </w:r>
            <w:r w:rsidR="00C63B8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0417A0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1 500 000,00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1 500 000,00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C641A4" w:rsidP="00C641A4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1 500 000,00</w:t>
            </w:r>
          </w:p>
        </w:tc>
      </w:tr>
      <w:tr w:rsidR="0020343E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500</w:t>
            </w:r>
            <w:r w:rsidR="00C63B80">
              <w:rPr>
                <w:sz w:val="20"/>
                <w:szCs w:val="20"/>
              </w:rPr>
              <w:t> </w:t>
            </w:r>
            <w:r w:rsidRPr="00C63B80">
              <w:rPr>
                <w:sz w:val="20"/>
                <w:szCs w:val="20"/>
              </w:rPr>
              <w:t>000</w:t>
            </w:r>
            <w:r w:rsidR="00C63B8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500 000,00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550446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500 000,00</w:t>
            </w:r>
          </w:p>
          <w:p w:rsidR="00550446" w:rsidRPr="00C63B80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C63B80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7845BF" w:rsidP="007845BF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50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161</w:t>
            </w:r>
            <w:r w:rsidR="006A5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620</w:t>
            </w:r>
            <w:r w:rsidR="00C63B8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BC55C9" w:rsidP="005B197E">
            <w:pPr>
              <w:jc w:val="right"/>
              <w:outlineLvl w:val="4"/>
              <w:rPr>
                <w:sz w:val="20"/>
                <w:szCs w:val="20"/>
              </w:rPr>
            </w:pPr>
            <w:r w:rsidRPr="004D4A48">
              <w:rPr>
                <w:sz w:val="20"/>
                <w:szCs w:val="20"/>
              </w:rPr>
              <w:t>2</w:t>
            </w:r>
            <w:r w:rsidR="005B197E">
              <w:rPr>
                <w:sz w:val="20"/>
                <w:szCs w:val="20"/>
              </w:rPr>
              <w:t> </w:t>
            </w:r>
            <w:r w:rsidR="00046732">
              <w:rPr>
                <w:sz w:val="20"/>
                <w:szCs w:val="20"/>
              </w:rPr>
              <w:t>08</w:t>
            </w:r>
            <w:r w:rsidR="005B197E">
              <w:rPr>
                <w:sz w:val="20"/>
                <w:szCs w:val="20"/>
              </w:rPr>
              <w:t>4 019,29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450 000,00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450 000,00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550446" w:rsidP="00550446">
            <w:pPr>
              <w:jc w:val="center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450 000,00</w:t>
            </w:r>
          </w:p>
          <w:p w:rsidR="00550446" w:rsidRPr="00C63B80" w:rsidRDefault="00550446" w:rsidP="00550446">
            <w:pPr>
              <w:jc w:val="center"/>
              <w:outlineLvl w:val="4"/>
              <w:rPr>
                <w:sz w:val="20"/>
                <w:szCs w:val="20"/>
              </w:rPr>
            </w:pPr>
          </w:p>
        </w:tc>
      </w:tr>
      <w:tr w:rsidR="0020343E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C63B80">
              <w:rPr>
                <w:sz w:val="20"/>
                <w:szCs w:val="20"/>
              </w:rPr>
              <w:t>37</w:t>
            </w:r>
            <w:r w:rsidR="00217332" w:rsidRPr="00C63B80">
              <w:rPr>
                <w:sz w:val="20"/>
                <w:szCs w:val="20"/>
              </w:rPr>
              <w:t> </w:t>
            </w:r>
            <w:r w:rsidRPr="00C63B80">
              <w:rPr>
                <w:sz w:val="20"/>
                <w:szCs w:val="20"/>
              </w:rPr>
              <w:t>500</w:t>
            </w:r>
            <w:r w:rsidR="00217332" w:rsidRPr="00C63B8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 w:rsidP="004D4A48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30</w:t>
            </w:r>
            <w:r w:rsidR="004D4A48">
              <w:rPr>
                <w:sz w:val="20"/>
                <w:szCs w:val="20"/>
              </w:rPr>
              <w:t>2 211,20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300 000,00</w:t>
            </w:r>
            <w:r w:rsidR="00C641A4" w:rsidRPr="00C63B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300 000,00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550446">
            <w:pPr>
              <w:jc w:val="right"/>
              <w:outlineLvl w:val="4"/>
              <w:rPr>
                <w:sz w:val="20"/>
                <w:szCs w:val="20"/>
              </w:rPr>
            </w:pPr>
            <w:r w:rsidRPr="00C63B80">
              <w:rPr>
                <w:sz w:val="20"/>
                <w:szCs w:val="20"/>
              </w:rPr>
              <w:t>300 000,00</w:t>
            </w:r>
          </w:p>
          <w:p w:rsidR="00550446" w:rsidRPr="00C63B80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Tr="00533666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 w:rsidP="007078DB">
            <w:pPr>
              <w:outlineLvl w:val="4"/>
            </w:pPr>
            <w:r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160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C63B80">
              <w:rPr>
                <w:color w:val="000000"/>
                <w:sz w:val="20"/>
                <w:szCs w:val="20"/>
              </w:rPr>
              <w:t>000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C641A4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140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C63B80">
              <w:rPr>
                <w:color w:val="000000"/>
                <w:sz w:val="20"/>
                <w:szCs w:val="20"/>
              </w:rPr>
              <w:t>000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мероприятие: Субсидия бюджетам муниципальных образований Калужской области на выполнение </w:t>
            </w:r>
            <w:r>
              <w:rPr>
                <w:color w:val="000000"/>
                <w:sz w:val="20"/>
                <w:szCs w:val="20"/>
              </w:rPr>
              <w:lastRenderedPageBreak/>
              <w:t>кадастровых работ по устранению 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Бюджет МО ГП </w:t>
            </w:r>
          </w:p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2 990,62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6 220,44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31 860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26 915,60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55 984,00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6A045F" w:rsidRDefault="006A045F" w:rsidP="00F35850">
            <w:pPr>
              <w:outlineLvl w:val="4"/>
              <w:rPr>
                <w:sz w:val="20"/>
                <w:szCs w:val="20"/>
              </w:rPr>
            </w:pPr>
            <w:r w:rsidRPr="006A045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pPr>
              <w:outlineLvl w:val="4"/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16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C63B80">
              <w:rPr>
                <w:color w:val="000000"/>
                <w:sz w:val="20"/>
                <w:szCs w:val="20"/>
              </w:rPr>
              <w:t>000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16 308,56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5 176,18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146 777,00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46 585,00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C63B80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</w:p>
        </w:tc>
      </w:tr>
      <w:tr w:rsidR="00C504ED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0D1DD0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градостроительного </w:t>
            </w:r>
            <w:proofErr w:type="spellStart"/>
            <w:r w:rsidRPr="000D1DD0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  <w:r w:rsidRPr="000D1DD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C63B80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40</w:t>
            </w:r>
            <w:r w:rsidR="00217332" w:rsidRPr="00C63B80">
              <w:rPr>
                <w:color w:val="000000"/>
                <w:sz w:val="20"/>
                <w:szCs w:val="20"/>
              </w:rPr>
              <w:t> </w:t>
            </w:r>
            <w:r w:rsidRPr="00C63B80">
              <w:rPr>
                <w:color w:val="000000"/>
                <w:sz w:val="20"/>
                <w:szCs w:val="20"/>
              </w:rPr>
              <w:t>000</w:t>
            </w:r>
            <w:r w:rsidR="00217332" w:rsidRP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C63B80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Tr="00533666">
        <w:trPr>
          <w:trHeight w:val="2168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C63B80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360</w:t>
            </w:r>
            <w:r w:rsidR="00217332" w:rsidRPr="00C63B80">
              <w:rPr>
                <w:color w:val="000000"/>
                <w:sz w:val="20"/>
                <w:szCs w:val="20"/>
              </w:rPr>
              <w:t> </w:t>
            </w:r>
            <w:r w:rsidRPr="00C63B80">
              <w:rPr>
                <w:color w:val="000000"/>
                <w:sz w:val="20"/>
                <w:szCs w:val="20"/>
              </w:rPr>
              <w:t>000</w:t>
            </w:r>
            <w:r w:rsidR="00217332" w:rsidRP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6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217332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C63B80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C63B80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C63B80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C63B80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A44AE5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C85211" w:rsidRPr="004D4A48">
        <w:rPr>
          <w:b/>
          <w:color w:val="000000"/>
        </w:rPr>
        <w:t>6</w:t>
      </w:r>
      <w:r w:rsidR="004D4A48">
        <w:rPr>
          <w:b/>
          <w:color w:val="000000"/>
        </w:rPr>
        <w:t> 4</w:t>
      </w:r>
      <w:r w:rsidR="00046732">
        <w:rPr>
          <w:b/>
          <w:color w:val="000000"/>
        </w:rPr>
        <w:t>99</w:t>
      </w:r>
      <w:r w:rsidR="004D4A48">
        <w:rPr>
          <w:b/>
          <w:color w:val="000000"/>
        </w:rPr>
        <w:t xml:space="preserve"> 068,86 </w:t>
      </w:r>
      <w:r w:rsidRPr="004D4A48">
        <w:rPr>
          <w:b/>
          <w:color w:val="000000"/>
        </w:rPr>
        <w:t>рублей.</w:t>
      </w:r>
      <w:bookmarkEnd w:id="7"/>
      <w:bookmarkEnd w:id="8"/>
    </w:p>
    <w:p w:rsidR="00A44AE5" w:rsidRDefault="00A44AE5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sectPr w:rsidR="0020343E" w:rsidSect="00BA541B"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09" w:rsidRDefault="00FE7509">
      <w:r>
        <w:separator/>
      </w:r>
    </w:p>
  </w:endnote>
  <w:endnote w:type="continuationSeparator" w:id="0">
    <w:p w:rsidR="00FE7509" w:rsidRDefault="00F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09" w:rsidRDefault="00FE7509">
      <w:r>
        <w:separator/>
      </w:r>
    </w:p>
  </w:footnote>
  <w:footnote w:type="continuationSeparator" w:id="0">
    <w:p w:rsidR="00FE7509" w:rsidRDefault="00FE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D1DD0"/>
    <w:rsid w:val="000D304A"/>
    <w:rsid w:val="000F23DE"/>
    <w:rsid w:val="001328B5"/>
    <w:rsid w:val="001521FD"/>
    <w:rsid w:val="001C5E67"/>
    <w:rsid w:val="001D62F8"/>
    <w:rsid w:val="0020343E"/>
    <w:rsid w:val="00217332"/>
    <w:rsid w:val="002C2142"/>
    <w:rsid w:val="00303A29"/>
    <w:rsid w:val="0032238F"/>
    <w:rsid w:val="003E5ABA"/>
    <w:rsid w:val="003F55C0"/>
    <w:rsid w:val="0045722D"/>
    <w:rsid w:val="004D4A48"/>
    <w:rsid w:val="00533666"/>
    <w:rsid w:val="00550446"/>
    <w:rsid w:val="005950D4"/>
    <w:rsid w:val="005B197E"/>
    <w:rsid w:val="005C0B4E"/>
    <w:rsid w:val="005C3825"/>
    <w:rsid w:val="006A045F"/>
    <w:rsid w:val="006A0864"/>
    <w:rsid w:val="006A50CB"/>
    <w:rsid w:val="006E4610"/>
    <w:rsid w:val="007078DB"/>
    <w:rsid w:val="007227FF"/>
    <w:rsid w:val="00742ECF"/>
    <w:rsid w:val="007845BF"/>
    <w:rsid w:val="00784A49"/>
    <w:rsid w:val="007C7726"/>
    <w:rsid w:val="00803DA3"/>
    <w:rsid w:val="008437F6"/>
    <w:rsid w:val="00864A8E"/>
    <w:rsid w:val="008879B4"/>
    <w:rsid w:val="00935DF0"/>
    <w:rsid w:val="009A35CC"/>
    <w:rsid w:val="009C71A3"/>
    <w:rsid w:val="00A44AE5"/>
    <w:rsid w:val="00A71B41"/>
    <w:rsid w:val="00B31809"/>
    <w:rsid w:val="00B42D9B"/>
    <w:rsid w:val="00B65AFB"/>
    <w:rsid w:val="00B8432A"/>
    <w:rsid w:val="00BA541B"/>
    <w:rsid w:val="00BB1C1C"/>
    <w:rsid w:val="00BC55C9"/>
    <w:rsid w:val="00C0331D"/>
    <w:rsid w:val="00C504ED"/>
    <w:rsid w:val="00C63B80"/>
    <w:rsid w:val="00C641A4"/>
    <w:rsid w:val="00C85211"/>
    <w:rsid w:val="00CE06EF"/>
    <w:rsid w:val="00CE4C0F"/>
    <w:rsid w:val="00D150C1"/>
    <w:rsid w:val="00DD1FE4"/>
    <w:rsid w:val="00E14AAE"/>
    <w:rsid w:val="00E537B4"/>
    <w:rsid w:val="00F35850"/>
    <w:rsid w:val="00F7546C"/>
    <w:rsid w:val="00FA185A"/>
    <w:rsid w:val="00FD62AB"/>
    <w:rsid w:val="00FE7509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DF8C8E4-44DD-4C9F-8704-9E25B006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Admin</cp:lastModifiedBy>
  <cp:revision>2</cp:revision>
  <cp:lastPrinted>2022-06-23T07:56:00Z</cp:lastPrinted>
  <dcterms:created xsi:type="dcterms:W3CDTF">2024-01-19T08:43:00Z</dcterms:created>
  <dcterms:modified xsi:type="dcterms:W3CDTF">2024-01-19T08:43:00Z</dcterms:modified>
  <dc:language>en-US</dc:language>
</cp:coreProperties>
</file>