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4D01F6" w:rsidTr="00B1290D">
        <w:trPr>
          <w:trHeight w:hRule="exact" w:val="964"/>
        </w:trPr>
        <w:tc>
          <w:tcPr>
            <w:tcW w:w="10173" w:type="dxa"/>
            <w:gridSpan w:val="2"/>
            <w:vAlign w:val="bottom"/>
          </w:tcPr>
          <w:p w:rsidR="00B27445" w:rsidRDefault="004E1262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t xml:space="preserve">           </w:t>
            </w:r>
          </w:p>
          <w:p w:rsidR="00DD4114" w:rsidRDefault="00ED1FDB" w:rsidP="00B3521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F6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4E1262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4E1262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4E1262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4E1262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4D01F6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5D37F8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5D37F8">
              <w:rPr>
                <w:sz w:val="24"/>
                <w:szCs w:val="24"/>
              </w:rPr>
              <w:t>__</w:t>
            </w:r>
            <w:r w:rsidR="00E56BF2" w:rsidRPr="00E56BF2">
              <w:rPr>
                <w:sz w:val="24"/>
                <w:szCs w:val="24"/>
                <w:u w:val="single"/>
              </w:rPr>
              <w:t>31</w:t>
            </w:r>
            <w:r w:rsidR="005D37F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"</w:t>
            </w:r>
            <w:r w:rsidR="00E56BF2">
              <w:rPr>
                <w:sz w:val="24"/>
                <w:szCs w:val="24"/>
                <w:u w:val="single"/>
              </w:rPr>
              <w:t>января</w:t>
            </w:r>
            <w:r w:rsidR="002D059D">
              <w:rPr>
                <w:sz w:val="24"/>
                <w:szCs w:val="24"/>
              </w:rPr>
              <w:t>_</w:t>
            </w:r>
            <w:r w:rsidR="0068305A">
              <w:rPr>
                <w:sz w:val="24"/>
                <w:szCs w:val="24"/>
              </w:rPr>
              <w:t xml:space="preserve"> </w:t>
            </w:r>
            <w:r w:rsidR="00E56BF2">
              <w:rPr>
                <w:sz w:val="24"/>
                <w:szCs w:val="24"/>
                <w:u w:val="single"/>
              </w:rPr>
              <w:t>2022</w:t>
            </w:r>
            <w:r w:rsidR="002D059D">
              <w:rPr>
                <w:sz w:val="24"/>
                <w:szCs w:val="24"/>
                <w:u w:val="single"/>
              </w:rPr>
              <w:t>_</w:t>
            </w:r>
            <w:r w:rsidR="004E1262" w:rsidRPr="007D7862">
              <w:rPr>
                <w:sz w:val="24"/>
                <w:szCs w:val="24"/>
              </w:rPr>
              <w:t xml:space="preserve">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4E1262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4E1262" w:rsidRPr="007D7862">
              <w:rPr>
                <w:sz w:val="24"/>
                <w:szCs w:val="24"/>
              </w:rPr>
              <w:t xml:space="preserve">                </w:t>
            </w:r>
            <w:r w:rsidR="004E1262" w:rsidRPr="007D7862">
              <w:rPr>
                <w:sz w:val="24"/>
                <w:szCs w:val="24"/>
              </w:rPr>
              <w:tab/>
              <w:t>№</w:t>
            </w:r>
            <w:r w:rsidR="00E56BF2">
              <w:rPr>
                <w:sz w:val="24"/>
                <w:szCs w:val="24"/>
              </w:rPr>
              <w:t>___</w:t>
            </w:r>
            <w:r w:rsidR="00E56BF2" w:rsidRPr="00E56BF2">
              <w:rPr>
                <w:sz w:val="24"/>
                <w:szCs w:val="24"/>
                <w:u w:val="single"/>
              </w:rPr>
              <w:t>106</w:t>
            </w:r>
            <w:r w:rsidR="005D37F8">
              <w:rPr>
                <w:sz w:val="24"/>
                <w:szCs w:val="24"/>
              </w:rPr>
              <w:t>___</w:t>
            </w:r>
          </w:p>
        </w:tc>
      </w:tr>
      <w:tr w:rsidR="004D01F6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4D01F6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5D37F8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>О</w:t>
            </w:r>
            <w:r w:rsidR="005D37F8">
              <w:rPr>
                <w:b/>
                <w:sz w:val="24"/>
                <w:szCs w:val="24"/>
              </w:rPr>
              <w:t xml:space="preserve"> внесении изменений в </w:t>
            </w:r>
            <w:r w:rsidRPr="00FF699C">
              <w:rPr>
                <w:b/>
                <w:sz w:val="24"/>
                <w:szCs w:val="24"/>
              </w:rPr>
              <w:t xml:space="preserve"> </w:t>
            </w:r>
            <w:r w:rsidR="005D37F8">
              <w:rPr>
                <w:b/>
                <w:sz w:val="24"/>
                <w:szCs w:val="24"/>
              </w:rPr>
              <w:t>муниципальную программу</w:t>
            </w:r>
            <w:r w:rsidR="00821729" w:rsidRPr="00821729">
              <w:rPr>
                <w:b/>
                <w:sz w:val="24"/>
                <w:szCs w:val="24"/>
              </w:rPr>
              <w:t xml:space="preserve"> «Обеспечение жильем молодых семей в муниципальном районе «Дзержинский район»</w:t>
            </w:r>
            <w:r w:rsidR="00FE7032">
              <w:rPr>
                <w:b/>
                <w:sz w:val="24"/>
                <w:szCs w:val="24"/>
              </w:rPr>
              <w:t>, утвержденную</w:t>
            </w:r>
            <w:r w:rsidR="000F2E6B">
              <w:rPr>
                <w:b/>
                <w:sz w:val="24"/>
                <w:szCs w:val="24"/>
              </w:rPr>
              <w:t xml:space="preserve"> постановлением администра</w:t>
            </w:r>
            <w:r w:rsidR="005B2D9B">
              <w:rPr>
                <w:b/>
                <w:sz w:val="24"/>
                <w:szCs w:val="24"/>
              </w:rPr>
              <w:t>ции МР «Дзержинский район»</w:t>
            </w:r>
            <w:r w:rsidR="00EC04FC">
              <w:rPr>
                <w:b/>
                <w:sz w:val="24"/>
                <w:szCs w:val="24"/>
              </w:rPr>
              <w:t xml:space="preserve">  от 30.12.2020</w:t>
            </w:r>
            <w:r w:rsidR="000F2E6B">
              <w:rPr>
                <w:b/>
                <w:sz w:val="24"/>
                <w:szCs w:val="24"/>
              </w:rPr>
              <w:t xml:space="preserve"> № </w:t>
            </w:r>
            <w:r w:rsidR="00EC04FC">
              <w:rPr>
                <w:b/>
                <w:sz w:val="24"/>
                <w:szCs w:val="24"/>
              </w:rPr>
              <w:t>1735 (в редакции от 31.05.2021 №669, от 30.06.2021 № 827)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4D01F6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4D01F6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EC04FC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EC04FC">
              <w:rPr>
                <w:sz w:val="24"/>
                <w:szCs w:val="24"/>
              </w:rPr>
              <w:t>В соответствии  с постановлением администрации Дзержинского района от 14.08.2013 № 1931 «Об утверждении Порядка принятия 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4E1262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5D37F8" w:rsidP="00821729">
            <w:pPr>
              <w:numPr>
                <w:ilvl w:val="0"/>
                <w:numId w:val="8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изменения в </w:t>
            </w:r>
            <w:r w:rsidR="00247E74">
              <w:rPr>
                <w:sz w:val="24"/>
                <w:szCs w:val="24"/>
              </w:rPr>
              <w:t xml:space="preserve">муниципальную программу </w:t>
            </w:r>
            <w:r w:rsidR="00F05F3E" w:rsidRPr="00F05F3E">
              <w:rPr>
                <w:sz w:val="24"/>
                <w:szCs w:val="24"/>
              </w:rPr>
              <w:t>«Обеспечение жильем молодых семей в муниципальном район</w:t>
            </w:r>
            <w:r w:rsidR="00284801">
              <w:rPr>
                <w:sz w:val="24"/>
                <w:szCs w:val="24"/>
              </w:rPr>
              <w:t>е «Дзержинский район», утвержденную постановлением администрации МР «Дзержинский район»</w:t>
            </w:r>
            <w:r w:rsidR="005B2D9B">
              <w:rPr>
                <w:sz w:val="24"/>
                <w:szCs w:val="24"/>
              </w:rPr>
              <w:t xml:space="preserve"> </w:t>
            </w:r>
            <w:r w:rsidR="00EC04FC" w:rsidRPr="00EC04FC">
              <w:rPr>
                <w:sz w:val="24"/>
                <w:szCs w:val="24"/>
              </w:rPr>
              <w:t>от 30.12.2020 № 1735 (в редакции от 31.05.2021 №669, от 30.06.2021 № 827</w:t>
            </w:r>
            <w:r w:rsidR="00EC04FC">
              <w:rPr>
                <w:b/>
                <w:sz w:val="24"/>
                <w:szCs w:val="24"/>
              </w:rPr>
              <w:t>)</w:t>
            </w:r>
            <w:r w:rsidR="00581641">
              <w:rPr>
                <w:sz w:val="24"/>
                <w:szCs w:val="24"/>
              </w:rPr>
              <w:t>, изложив ее в новой редакции (прилагается).</w:t>
            </w:r>
          </w:p>
          <w:p w:rsidR="000F2E6B" w:rsidRPr="00FE7032" w:rsidRDefault="004E1262" w:rsidP="00FE7032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2D3F66">
              <w:rPr>
                <w:sz w:val="24"/>
                <w:szCs w:val="24"/>
              </w:rPr>
              <w:t>Контроль за исполнением настоящего постановления возложить на  заместителя главы администрации  М.В. Канищеву.</w:t>
            </w:r>
          </w:p>
          <w:p w:rsidR="00701597" w:rsidRPr="002D3F66" w:rsidRDefault="000F2E6B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Постановление вступает в силу со дня</w:t>
            </w:r>
            <w:r w:rsidR="00FE7032">
              <w:rPr>
                <w:sz w:val="24"/>
                <w:szCs w:val="24"/>
              </w:rPr>
              <w:t xml:space="preserve"> его официального опубликования.</w:t>
            </w:r>
          </w:p>
          <w:p w:rsidR="007045B1" w:rsidRPr="00556754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4E1262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694194" w:rsidRPr="00694194" w:rsidRDefault="004E1262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к </w:t>
      </w:r>
    </w:p>
    <w:p w:rsidR="00694194" w:rsidRPr="00694194" w:rsidRDefault="004E1262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694194" w:rsidRPr="00694194" w:rsidRDefault="004E1262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694194" w:rsidRPr="00694194" w:rsidRDefault="004E1262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от </w:t>
      </w:r>
      <w:r w:rsidR="00A54618">
        <w:rPr>
          <w:rFonts w:eastAsia="Calibri"/>
          <w:b/>
          <w:sz w:val="24"/>
          <w:szCs w:val="24"/>
          <w:u w:val="single"/>
          <w:lang w:eastAsia="en-US"/>
        </w:rPr>
        <w:t>__31.01.2022</w:t>
      </w:r>
      <w:r w:rsidRPr="00694194">
        <w:rPr>
          <w:rFonts w:eastAsia="Calibri"/>
          <w:b/>
          <w:sz w:val="24"/>
          <w:szCs w:val="24"/>
          <w:u w:val="single"/>
          <w:lang w:eastAsia="en-US"/>
        </w:rPr>
        <w:t>_____</w:t>
      </w:r>
      <w:r w:rsidRPr="00694194">
        <w:rPr>
          <w:rFonts w:eastAsia="Calibri"/>
          <w:b/>
          <w:sz w:val="24"/>
          <w:szCs w:val="24"/>
          <w:lang w:eastAsia="en-US"/>
        </w:rPr>
        <w:t xml:space="preserve"> №</w:t>
      </w:r>
      <w:r w:rsidRPr="00694194">
        <w:rPr>
          <w:rFonts w:eastAsia="Calibri"/>
          <w:b/>
          <w:sz w:val="24"/>
          <w:szCs w:val="24"/>
          <w:u w:val="single"/>
          <w:lang w:eastAsia="en-US"/>
        </w:rPr>
        <w:t xml:space="preserve"> ____</w:t>
      </w:r>
      <w:r w:rsidR="00A54618">
        <w:rPr>
          <w:rFonts w:eastAsia="Calibri"/>
          <w:b/>
          <w:sz w:val="24"/>
          <w:szCs w:val="24"/>
          <w:u w:val="single"/>
          <w:lang w:eastAsia="en-US"/>
        </w:rPr>
        <w:t>106</w:t>
      </w:r>
      <w:r w:rsidRPr="00694194">
        <w:rPr>
          <w:rFonts w:eastAsia="Calibri"/>
          <w:b/>
          <w:sz w:val="24"/>
          <w:szCs w:val="24"/>
          <w:u w:val="single"/>
          <w:lang w:eastAsia="en-US"/>
        </w:rPr>
        <w:t>____</w:t>
      </w: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694194" w:rsidRPr="00694194" w:rsidRDefault="004E1262" w:rsidP="0069419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4194" w:rsidRPr="00694194" w:rsidRDefault="004E1262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«Обеспечение жильем молодых семей в муниципальном районе </w:t>
      </w:r>
    </w:p>
    <w:p w:rsidR="00694194" w:rsidRPr="00694194" w:rsidRDefault="004E1262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«Дзержинский район» </w:t>
      </w:r>
    </w:p>
    <w:p w:rsidR="001318D7" w:rsidRDefault="001318D7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76401D" w:rsidRPr="0098523A" w:rsidRDefault="0076401D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5A2FCE" w:rsidRPr="00747774" w:rsidRDefault="004E1262" w:rsidP="00747774">
      <w:pPr>
        <w:pStyle w:val="a8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47774" w:rsidRDefault="004E1262" w:rsidP="00747774">
      <w:pPr>
        <w:spacing w:after="120"/>
        <w:jc w:val="center"/>
        <w:rPr>
          <w:b/>
          <w:sz w:val="24"/>
          <w:szCs w:val="24"/>
        </w:rPr>
      </w:pPr>
      <w:r w:rsidRPr="00747774">
        <w:rPr>
          <w:b/>
          <w:sz w:val="24"/>
          <w:szCs w:val="24"/>
        </w:rPr>
        <w:t>муниципальной</w:t>
      </w:r>
      <w:r w:rsidR="000F7264" w:rsidRPr="00747774">
        <w:rPr>
          <w:b/>
          <w:sz w:val="24"/>
          <w:szCs w:val="24"/>
        </w:rPr>
        <w:t xml:space="preserve"> программы</w:t>
      </w:r>
    </w:p>
    <w:p w:rsidR="00D7421B" w:rsidRPr="00D7421B" w:rsidRDefault="004E1262" w:rsidP="00D7421B">
      <w:pPr>
        <w:spacing w:after="120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«Обеспечение</w:t>
      </w:r>
      <w:r w:rsidR="000F7264" w:rsidRPr="00747774">
        <w:rPr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b/>
          <w:sz w:val="24"/>
          <w:szCs w:val="24"/>
        </w:rPr>
        <w:t>йоне «Д</w:t>
      </w:r>
      <w:r w:rsidR="00747774" w:rsidRPr="00747774">
        <w:rPr>
          <w:b/>
          <w:sz w:val="24"/>
          <w:szCs w:val="24"/>
        </w:rPr>
        <w:t>зержинский район»</w:t>
      </w:r>
      <w:r w:rsidR="004160C6">
        <w:rPr>
          <w:b/>
          <w:sz w:val="24"/>
          <w:szCs w:val="24"/>
        </w:rPr>
        <w:t xml:space="preserve">    </w:t>
      </w:r>
      <w:r w:rsidR="00747774" w:rsidRPr="00747774">
        <w:rPr>
          <w:b/>
          <w:sz w:val="24"/>
          <w:szCs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134"/>
        <w:gridCol w:w="1134"/>
        <w:gridCol w:w="1134"/>
        <w:gridCol w:w="1134"/>
        <w:gridCol w:w="1134"/>
      </w:tblGrid>
      <w:tr w:rsidR="004D01F6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E126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A642F5" w:rsidRPr="00747774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4D01F6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4E1262" w:rsidP="00B060A2">
            <w:pPr>
              <w:pStyle w:val="aa"/>
              <w:spacing w:before="100" w:beforeAutospacing="1" w:after="100" w:afterAutospacing="1" w:line="276" w:lineRule="auto"/>
              <w:ind w:left="33"/>
              <w:jc w:val="both"/>
            </w:pPr>
            <w:r>
              <w:t>Решение жилищной проблемы молодых семей, нуждающихся в улучшении жилищных условий</w:t>
            </w:r>
          </w:p>
        </w:tc>
      </w:tr>
      <w:tr w:rsidR="004D01F6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Default="004E1262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116E9F" w:rsidRDefault="004E1262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  <w:r w:rsidR="00116E9F">
              <w:t>.</w:t>
            </w:r>
          </w:p>
          <w:p w:rsidR="00EC0844" w:rsidRPr="00747774" w:rsidRDefault="00EC0844" w:rsidP="00747774">
            <w:pPr>
              <w:pStyle w:val="a8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1F6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E1262" w:rsidP="00B060A2">
            <w:pPr>
              <w:pStyle w:val="a8"/>
              <w:spacing w:before="100" w:beforeAutospacing="1" w:after="100" w:afterAutospacing="1"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5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обеспеченных</w:t>
            </w: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7378"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жильем на конец года </w:t>
            </w:r>
          </w:p>
        </w:tc>
      </w:tr>
      <w:tr w:rsidR="004D01F6" w:rsidTr="00411111">
        <w:trPr>
          <w:trHeight w:val="1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E1262" w:rsidP="00747774">
            <w:pPr>
              <w:pStyle w:val="2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C95103">
              <w:rPr>
                <w:rFonts w:ascii="Times New Roman" w:hAnsi="Times New Roman"/>
                <w:sz w:val="24"/>
                <w:szCs w:val="24"/>
              </w:rPr>
              <w:t>к реализации программы 2021-2025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B060A2">
              <w:rPr>
                <w:rFonts w:ascii="Times New Roman" w:hAnsi="Times New Roman"/>
                <w:sz w:val="24"/>
                <w:szCs w:val="24"/>
              </w:rPr>
              <w:t>,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4D01F6" w:rsidTr="00116E9F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>программы за счет средств местного бюджета</w:t>
            </w:r>
          </w:p>
          <w:p w:rsidR="00A44682" w:rsidRPr="00747774" w:rsidRDefault="00A44682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4E1262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Источники</w:t>
            </w:r>
          </w:p>
          <w:p w:rsidR="00A44682" w:rsidRPr="00747774" w:rsidRDefault="004E1262" w:rsidP="00411111">
            <w:pPr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1B" w:rsidRDefault="004E1262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 </w:t>
            </w:r>
          </w:p>
          <w:p w:rsidR="00A44682" w:rsidRPr="00097C1B" w:rsidRDefault="004E1262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4777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747774" w:rsidRDefault="004E126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в том числе по годам:</w:t>
            </w:r>
          </w:p>
        </w:tc>
      </w:tr>
      <w:tr w:rsidR="004D01F6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03" w:rsidRPr="00747774" w:rsidRDefault="00C95103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03" w:rsidRPr="00747774" w:rsidRDefault="004E126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4E126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4E126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4E1262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47774">
              <w:rPr>
                <w:sz w:val="24"/>
                <w:szCs w:val="24"/>
              </w:rPr>
              <w:t>г.</w:t>
            </w:r>
          </w:p>
          <w:p w:rsidR="00C95103" w:rsidRPr="00747774" w:rsidRDefault="00C95103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3" w:rsidRPr="00747774" w:rsidRDefault="004E1262" w:rsidP="0010706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47774">
              <w:rPr>
                <w:sz w:val="24"/>
                <w:szCs w:val="24"/>
              </w:rPr>
              <w:t>г.</w:t>
            </w:r>
          </w:p>
        </w:tc>
      </w:tr>
      <w:tr w:rsidR="004D01F6" w:rsidTr="00116E9F">
        <w:trPr>
          <w:trHeight w:val="103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4E1262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6191931,33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1 204 223,33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920 608</w:t>
            </w:r>
          </w:p>
        </w:tc>
      </w:tr>
      <w:tr w:rsidR="004D01F6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4E1262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</w:t>
            </w:r>
            <w:r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4D01F6" w:rsidTr="00116E9F">
        <w:trPr>
          <w:trHeight w:val="2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7" w:rsidRPr="00747774" w:rsidRDefault="00203DA7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4E1262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657A7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16477558,76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4269519,07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4074243,40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4D01F6" w:rsidTr="00B060A2">
        <w:trPr>
          <w:trHeight w:val="2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t>Ожидаемые результаты реализации муниципальной 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4E1262" w:rsidP="00747774">
            <w:pPr>
              <w:pStyle w:val="a8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C95103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2025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4E1262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улучшение жилищных условий</w:t>
            </w:r>
            <w:r w:rsidRPr="00747774">
              <w:rPr>
                <w:sz w:val="24"/>
                <w:szCs w:val="24"/>
              </w:rPr>
              <w:t xml:space="preserve"> молодых семей;</w:t>
            </w:r>
          </w:p>
          <w:p w:rsidR="005537B2" w:rsidRPr="00747774" w:rsidRDefault="004E1262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 привлечение в жилищную сферу дополнительных финансовых средств</w:t>
            </w:r>
            <w:r w:rsidRPr="00747774">
              <w:rPr>
                <w:sz w:val="24"/>
                <w:szCs w:val="24"/>
              </w:rPr>
              <w:t xml:space="preserve">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B060A2" w:rsidRDefault="004E1262" w:rsidP="00B060A2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</w:tc>
      </w:tr>
      <w:tr w:rsidR="004D01F6" w:rsidTr="004111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4E1262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</w:t>
            </w:r>
            <w:r w:rsidRPr="00747774">
              <w:rPr>
                <w:lang w:eastAsia="en-US"/>
              </w:rPr>
              <w:t>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4E1262" w:rsidP="00C95103">
            <w:pPr>
              <w:pStyle w:val="a8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контроль за реализацией Программы осуществляе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тся отделом образования</w:t>
            </w: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0E3922" w:rsidRPr="00747774" w:rsidRDefault="004E1262" w:rsidP="008150FE">
      <w:pPr>
        <w:pStyle w:val="a8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1.Общая х</w:t>
      </w:r>
      <w:r w:rsidR="00B52B90">
        <w:rPr>
          <w:rFonts w:ascii="Times New Roman" w:hAnsi="Times New Roman" w:cs="Times New Roman"/>
          <w:b/>
          <w:sz w:val="24"/>
          <w:szCs w:val="24"/>
        </w:rPr>
        <w:t>арактеристика сферы реализации П</w:t>
      </w:r>
      <w:r w:rsidRPr="0074777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</w:t>
      </w:r>
      <w:r w:rsidR="00C95103">
        <w:rPr>
          <w:sz w:val="24"/>
          <w:szCs w:val="24"/>
        </w:rPr>
        <w:t>ые брачные годы в возрасте до 35</w:t>
      </w:r>
      <w:r w:rsidRPr="00747774">
        <w:rPr>
          <w:sz w:val="24"/>
          <w:szCs w:val="24"/>
        </w:rPr>
        <w:t xml:space="preserve">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средств в профессиональную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2.Основные цели, задачи, принципы реализации</w:t>
      </w:r>
      <w:r w:rsidR="00B52B90">
        <w:rPr>
          <w:b/>
          <w:sz w:val="24"/>
          <w:szCs w:val="24"/>
        </w:rPr>
        <w:t>,</w:t>
      </w:r>
      <w:r w:rsidRPr="008150FE">
        <w:rPr>
          <w:b/>
          <w:sz w:val="24"/>
          <w:szCs w:val="24"/>
        </w:rPr>
        <w:t xml:space="preserve"> ожидаемые кон</w:t>
      </w:r>
      <w:r w:rsidR="00B52B90">
        <w:rPr>
          <w:b/>
          <w:sz w:val="24"/>
          <w:szCs w:val="24"/>
        </w:rPr>
        <w:t>ечные результаты муниципальной П</w:t>
      </w:r>
      <w:r w:rsidRPr="008150FE">
        <w:rPr>
          <w:b/>
          <w:sz w:val="24"/>
          <w:szCs w:val="24"/>
        </w:rPr>
        <w:t>рограммы</w:t>
      </w:r>
      <w:r w:rsidR="0085127A">
        <w:rPr>
          <w:b/>
          <w:sz w:val="24"/>
          <w:szCs w:val="24"/>
        </w:rPr>
        <w:t>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2.1.Основной целью Программы является </w:t>
      </w:r>
      <w:r w:rsidR="00B060A2">
        <w:rPr>
          <w:sz w:val="24"/>
          <w:szCs w:val="24"/>
        </w:rPr>
        <w:t>р</w:t>
      </w:r>
      <w:r w:rsidR="00B060A2" w:rsidRPr="00B060A2">
        <w:rPr>
          <w:sz w:val="24"/>
          <w:szCs w:val="24"/>
        </w:rPr>
        <w:t>ешение жилищной проблемы молодых семей, нуждающихся в улучшении жилищных условий</w:t>
      </w:r>
      <w:r w:rsidRPr="00747774">
        <w:rPr>
          <w:sz w:val="24"/>
          <w:szCs w:val="24"/>
        </w:rPr>
        <w:t>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возможность для молодых семей реализовать своё право на получение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4E1262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2.2.Реализация Программы позволит: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улучшить жилищные условия молодых семей;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8150FE" w:rsidRDefault="004E1262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3</w:t>
      </w:r>
      <w:r w:rsidR="00B52B90">
        <w:rPr>
          <w:b/>
          <w:sz w:val="24"/>
          <w:szCs w:val="24"/>
        </w:rPr>
        <w:t>. Система основных мероприятий П</w:t>
      </w:r>
      <w:r w:rsidRPr="008150FE">
        <w:rPr>
          <w:b/>
          <w:sz w:val="24"/>
          <w:szCs w:val="24"/>
        </w:rPr>
        <w:t>рограммы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Система мероприятий Программы включает в себя мероприятия по следующим направлениям:</w:t>
      </w:r>
    </w:p>
    <w:p w:rsidR="00DD564C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Нормативное правовое обеспечение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DD564C" w:rsidRDefault="004E1262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Финансовое обеспечение Программы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4E1262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3.  Организационное обеспечение Программы</w:t>
      </w:r>
      <w:r w:rsidR="00DD564C"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4.  Инфор</w:t>
      </w:r>
      <w:r w:rsidR="00DD564C">
        <w:rPr>
          <w:sz w:val="24"/>
          <w:szCs w:val="24"/>
        </w:rPr>
        <w:t>мационное обеспечение Программы.</w:t>
      </w:r>
    </w:p>
    <w:p w:rsidR="00813639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настоящей П</w:t>
      </w:r>
      <w:r w:rsidRPr="00747774">
        <w:rPr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</w:t>
      </w:r>
      <w:r w:rsidR="00187628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 xml:space="preserve">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займам.  </w:t>
      </w:r>
    </w:p>
    <w:p w:rsidR="00813639" w:rsidRPr="008150FE" w:rsidRDefault="004E1262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Механизмы реализации П</w:t>
      </w:r>
      <w:r w:rsidRPr="008150FE">
        <w:rPr>
          <w:b/>
          <w:sz w:val="24"/>
          <w:szCs w:val="24"/>
        </w:rPr>
        <w:t>рограммы</w:t>
      </w:r>
    </w:p>
    <w:p w:rsidR="00813639" w:rsidRPr="00747774" w:rsidRDefault="004E1262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4E1262" w:rsidP="0085127A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Механизм реализации Программы предполагает ок</w:t>
      </w:r>
      <w:r w:rsidR="0085127A">
        <w:rPr>
          <w:sz w:val="24"/>
          <w:szCs w:val="24"/>
        </w:rPr>
        <w:t>азание государственной поддержки</w:t>
      </w:r>
      <w:r w:rsidRPr="00747774">
        <w:rPr>
          <w:sz w:val="24"/>
          <w:szCs w:val="24"/>
        </w:rPr>
        <w:t xml:space="preserve"> молодым семьям в улучшении жилищных условий пу</w:t>
      </w:r>
      <w:r w:rsidR="0085127A">
        <w:rPr>
          <w:sz w:val="24"/>
          <w:szCs w:val="24"/>
        </w:rPr>
        <w:t xml:space="preserve">тём предоставления им социальной </w:t>
      </w:r>
      <w:r w:rsidRPr="00747774">
        <w:rPr>
          <w:sz w:val="24"/>
          <w:szCs w:val="24"/>
        </w:rPr>
        <w:t>выплат</w:t>
      </w:r>
      <w:r w:rsidR="0085127A">
        <w:rPr>
          <w:sz w:val="24"/>
          <w:szCs w:val="24"/>
        </w:rPr>
        <w:t xml:space="preserve">ы </w:t>
      </w:r>
      <w:r w:rsidRPr="00747774">
        <w:rPr>
          <w:sz w:val="24"/>
          <w:szCs w:val="24"/>
        </w:rPr>
        <w:t>на приобретение жилья или строительство инди</w:t>
      </w:r>
      <w:r w:rsidR="0085127A">
        <w:rPr>
          <w:sz w:val="24"/>
          <w:szCs w:val="24"/>
        </w:rPr>
        <w:t>видуального жилого дома, которая  може</w:t>
      </w:r>
      <w:r w:rsidRPr="00747774">
        <w:rPr>
          <w:sz w:val="24"/>
          <w:szCs w:val="24"/>
        </w:rPr>
        <w:t xml:space="preserve">т </w:t>
      </w:r>
      <w:r w:rsidR="0085127A">
        <w:rPr>
          <w:sz w:val="24"/>
          <w:szCs w:val="24"/>
        </w:rPr>
        <w:t>направляться на</w:t>
      </w:r>
      <w:r w:rsidRPr="00747774">
        <w:rPr>
          <w:sz w:val="24"/>
          <w:szCs w:val="24"/>
        </w:rPr>
        <w:t xml:space="preserve">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Размер социальной выплаты составляет не менее:</w:t>
      </w:r>
    </w:p>
    <w:p w:rsidR="00813639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30 процентов средней стоимости жилья, определяемой в соответствии с требованиями Федеральной подпрограммы, – для молодых семей, не имеющих детей;</w:t>
      </w:r>
    </w:p>
    <w:p w:rsidR="00B52B90" w:rsidRPr="00DD564C" w:rsidRDefault="004E1262" w:rsidP="004152AA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35</w:t>
      </w:r>
      <w:r w:rsidR="00813639" w:rsidRPr="00747774">
        <w:rPr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0E3922" w:rsidRPr="008150FE" w:rsidRDefault="004E1262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50FE">
        <w:rPr>
          <w:b/>
          <w:sz w:val="24"/>
          <w:szCs w:val="24"/>
        </w:rPr>
        <w:t>. Организация управления Программой и контроль за ходом её выполнения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Ответственный и</w:t>
      </w:r>
      <w:r w:rsidRPr="00747774">
        <w:rPr>
          <w:sz w:val="24"/>
          <w:szCs w:val="24"/>
        </w:rPr>
        <w:t>сполнител</w:t>
      </w:r>
      <w:r>
        <w:rPr>
          <w:sz w:val="24"/>
          <w:szCs w:val="24"/>
        </w:rPr>
        <w:t>ь Программы осуществляе</w:t>
      </w:r>
      <w:r w:rsidRPr="00747774">
        <w:rPr>
          <w:sz w:val="24"/>
          <w:szCs w:val="24"/>
        </w:rPr>
        <w:t>т: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Контроль за реализацией Програ</w:t>
      </w:r>
      <w:r w:rsidR="004152AA">
        <w:rPr>
          <w:sz w:val="24"/>
          <w:szCs w:val="24"/>
        </w:rPr>
        <w:t>ммы осуществляется по показателю</w:t>
      </w:r>
      <w:r w:rsidRPr="00747774">
        <w:rPr>
          <w:sz w:val="24"/>
          <w:szCs w:val="24"/>
        </w:rPr>
        <w:t>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количество молодых семей, улучшивших жилищные условия (в том числе с использованием ипотеч</w:t>
      </w:r>
      <w:r w:rsidR="004152AA">
        <w:rPr>
          <w:sz w:val="24"/>
          <w:szCs w:val="24"/>
        </w:rPr>
        <w:t>ных жилищных кредитов и займов).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</w:p>
    <w:p w:rsidR="00B52B90" w:rsidRDefault="00B52B90" w:rsidP="008150FE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  <w:sectPr w:rsidR="00B52B90" w:rsidSect="00D7421B">
          <w:head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150FE" w:rsidRPr="008150FE" w:rsidRDefault="004E1262" w:rsidP="008150FE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lastRenderedPageBreak/>
        <w:t xml:space="preserve">6. </w:t>
      </w:r>
      <w:r w:rsidRPr="008150FE">
        <w:rPr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2"/>
        <w:gridCol w:w="993"/>
        <w:gridCol w:w="1419"/>
        <w:gridCol w:w="1135"/>
        <w:gridCol w:w="142"/>
        <w:gridCol w:w="1134"/>
        <w:gridCol w:w="1134"/>
        <w:gridCol w:w="1134"/>
        <w:gridCol w:w="992"/>
        <w:gridCol w:w="142"/>
        <w:gridCol w:w="1134"/>
        <w:gridCol w:w="2409"/>
      </w:tblGrid>
      <w:tr w:rsidR="004D01F6" w:rsidTr="00FE52D1">
        <w:trPr>
          <w:tblHeader/>
        </w:trPr>
        <w:tc>
          <w:tcPr>
            <w:tcW w:w="708" w:type="dxa"/>
          </w:tcPr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92" w:type="dxa"/>
          </w:tcPr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4E1262" w:rsidP="008150FE">
            <w:pPr>
              <w:ind w:right="-108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947" w:type="dxa"/>
            <w:gridSpan w:val="8"/>
          </w:tcPr>
          <w:p w:rsidR="008150FE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Объё</w:t>
            </w:r>
            <w:r w:rsidR="00097C1B">
              <w:rPr>
                <w:b/>
                <w:sz w:val="24"/>
                <w:szCs w:val="24"/>
                <w:lang w:eastAsia="ja-JP"/>
              </w:rPr>
              <w:t>мы финансирования по годам (</w:t>
            </w:r>
            <w:r w:rsidRPr="008150FE">
              <w:rPr>
                <w:b/>
                <w:sz w:val="24"/>
                <w:szCs w:val="24"/>
                <w:lang w:eastAsia="ja-JP"/>
              </w:rPr>
              <w:t>рублей)</w:t>
            </w:r>
          </w:p>
        </w:tc>
        <w:tc>
          <w:tcPr>
            <w:tcW w:w="2409" w:type="dxa"/>
          </w:tcPr>
          <w:p w:rsidR="008150FE" w:rsidRPr="008150FE" w:rsidRDefault="004E1262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4E1262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4D01F6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</w:tcPr>
          <w:p w:rsidR="00FE52D1" w:rsidRPr="008150FE" w:rsidRDefault="004E1262" w:rsidP="00116E9F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Всего</w:t>
            </w:r>
            <w:r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E52D1" w:rsidRPr="008150FE" w:rsidRDefault="004E1262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134" w:type="dxa"/>
          </w:tcPr>
          <w:p w:rsidR="00FE52D1" w:rsidRPr="008150FE" w:rsidRDefault="004E1262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34" w:type="dxa"/>
          </w:tcPr>
          <w:p w:rsidR="00FE52D1" w:rsidRPr="008150FE" w:rsidRDefault="004E1262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992" w:type="dxa"/>
          </w:tcPr>
          <w:p w:rsidR="00FE52D1" w:rsidRPr="008150FE" w:rsidRDefault="004E1262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1276" w:type="dxa"/>
            <w:gridSpan w:val="2"/>
          </w:tcPr>
          <w:p w:rsidR="00FE52D1" w:rsidRPr="008150FE" w:rsidRDefault="004E1262" w:rsidP="00715122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2409" w:type="dxa"/>
          </w:tcPr>
          <w:p w:rsidR="00FE52D1" w:rsidRPr="008150FE" w:rsidRDefault="00FE52D1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4D01F6" w:rsidTr="00F759E8">
        <w:trPr>
          <w:cantSplit/>
          <w:trHeight w:val="160"/>
          <w:tblHeader/>
        </w:trPr>
        <w:tc>
          <w:tcPr>
            <w:tcW w:w="708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5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76" w:type="dxa"/>
            <w:gridSpan w:val="2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</w:tcPr>
          <w:p w:rsidR="00FE52D1" w:rsidRPr="008150FE" w:rsidRDefault="004E1262" w:rsidP="00193C6B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92" w:type="dxa"/>
          </w:tcPr>
          <w:p w:rsidR="00FE52D1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76" w:type="dxa"/>
            <w:gridSpan w:val="2"/>
          </w:tcPr>
          <w:p w:rsidR="00FE52D1" w:rsidRPr="008150FE" w:rsidRDefault="004E1262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9" w:type="dxa"/>
          </w:tcPr>
          <w:p w:rsidR="00FE52D1" w:rsidRPr="008150FE" w:rsidRDefault="004E1262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11</w:t>
            </w:r>
          </w:p>
        </w:tc>
      </w:tr>
      <w:tr w:rsidR="004D01F6" w:rsidTr="00980334">
        <w:tc>
          <w:tcPr>
            <w:tcW w:w="708" w:type="dxa"/>
          </w:tcPr>
          <w:p w:rsidR="00FE52D1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460" w:type="dxa"/>
            <w:gridSpan w:val="12"/>
          </w:tcPr>
          <w:p w:rsidR="00FE52D1" w:rsidRPr="008150FE" w:rsidRDefault="004E1262" w:rsidP="0010706A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4D01F6" w:rsidTr="00FE52D1">
        <w:tc>
          <w:tcPr>
            <w:tcW w:w="708" w:type="dxa"/>
          </w:tcPr>
          <w:p w:rsidR="0010706A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10706A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F759E8" w:rsidRPr="008150FE" w:rsidRDefault="004E1262" w:rsidP="00F759E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10706A" w:rsidRPr="008150FE" w:rsidRDefault="004E1262" w:rsidP="00F759E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10706A" w:rsidRPr="008150FE" w:rsidRDefault="004E1262" w:rsidP="0010706A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- Отдел образования администрации </w:t>
            </w:r>
            <w:r w:rsidR="00DD564C"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4E1262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 </w:t>
            </w:r>
            <w:r>
              <w:rPr>
                <w:sz w:val="24"/>
                <w:szCs w:val="24"/>
                <w:lang w:eastAsia="ja-JP"/>
              </w:rPr>
              <w:t>Финансовый отдел</w:t>
            </w:r>
            <w:r w:rsidRPr="008150FE">
              <w:rPr>
                <w:sz w:val="24"/>
                <w:szCs w:val="24"/>
                <w:lang w:eastAsia="ja-JP"/>
              </w:rPr>
              <w:t xml:space="preserve"> админ</w:t>
            </w:r>
            <w:r w:rsidR="00DD564C">
              <w:rPr>
                <w:sz w:val="24"/>
                <w:szCs w:val="24"/>
                <w:lang w:eastAsia="ja-JP"/>
              </w:rPr>
              <w:t>истрации 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703E09">
        <w:tc>
          <w:tcPr>
            <w:tcW w:w="708" w:type="dxa"/>
          </w:tcPr>
          <w:p w:rsidR="00FE52D1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4460" w:type="dxa"/>
            <w:gridSpan w:val="12"/>
          </w:tcPr>
          <w:p w:rsidR="00FE52D1" w:rsidRPr="008150FE" w:rsidRDefault="004E1262" w:rsidP="0010706A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Реализация мероприятий по обеспечению жильем молодых семей</w:t>
            </w:r>
          </w:p>
        </w:tc>
      </w:tr>
      <w:tr w:rsidR="004D01F6" w:rsidTr="00097C1B">
        <w:trPr>
          <w:cantSplit/>
        </w:trPr>
        <w:tc>
          <w:tcPr>
            <w:tcW w:w="708" w:type="dxa"/>
            <w:vMerge w:val="restart"/>
          </w:tcPr>
          <w:p w:rsidR="00203DA7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  <w:vMerge w:val="restart"/>
          </w:tcPr>
          <w:p w:rsidR="00203DA7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3" w:type="dxa"/>
            <w:vMerge w:val="restart"/>
          </w:tcPr>
          <w:p w:rsidR="00203DA7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203DA7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203DA7" w:rsidRPr="008150FE" w:rsidRDefault="004E1262" w:rsidP="007403B8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1277" w:type="dxa"/>
            <w:gridSpan w:val="2"/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6191931,33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1 204 223,33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gridSpan w:val="2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</w:tcPr>
          <w:p w:rsidR="00203DA7" w:rsidRPr="00747774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097C1B">
              <w:rPr>
                <w:sz w:val="24"/>
                <w:szCs w:val="24"/>
              </w:rPr>
              <w:t>920 608</w:t>
            </w:r>
          </w:p>
        </w:tc>
        <w:tc>
          <w:tcPr>
            <w:tcW w:w="2409" w:type="dxa"/>
            <w:vMerge w:val="restart"/>
          </w:tcPr>
          <w:p w:rsidR="00203DA7" w:rsidRPr="008150FE" w:rsidRDefault="004E1262" w:rsidP="008150FE">
            <w:pPr>
              <w:ind w:right="-18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Отдел образования администрации</w:t>
            </w:r>
          </w:p>
          <w:p w:rsidR="00203DA7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Дзержинского</w:t>
            </w:r>
            <w:r w:rsidRPr="008150FE">
              <w:rPr>
                <w:sz w:val="24"/>
                <w:szCs w:val="24"/>
                <w:lang w:eastAsia="ja-JP"/>
              </w:rPr>
              <w:t xml:space="preserve"> район</w:t>
            </w:r>
            <w:r>
              <w:rPr>
                <w:sz w:val="24"/>
                <w:szCs w:val="24"/>
                <w:lang w:eastAsia="ja-JP"/>
              </w:rPr>
              <w:t>а</w:t>
            </w:r>
          </w:p>
        </w:tc>
      </w:tr>
      <w:tr w:rsidR="004D01F6" w:rsidTr="00097C1B">
        <w:trPr>
          <w:cantSplit/>
        </w:trPr>
        <w:tc>
          <w:tcPr>
            <w:tcW w:w="708" w:type="dxa"/>
            <w:vMerge/>
          </w:tcPr>
          <w:p w:rsidR="00203DA7" w:rsidRPr="008150FE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203DA7" w:rsidRPr="008150FE" w:rsidRDefault="00203DA7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203DA7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203DA7" w:rsidRPr="00747774" w:rsidRDefault="004E1262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7" w:type="dxa"/>
            <w:gridSpan w:val="2"/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747774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03DA7" w:rsidRPr="00747774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DA7" w:rsidRPr="00747774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203DA7" w:rsidRPr="008150FE" w:rsidRDefault="00203DA7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4D01F6" w:rsidTr="00097C1B">
        <w:trPr>
          <w:cantSplit/>
        </w:trPr>
        <w:tc>
          <w:tcPr>
            <w:tcW w:w="708" w:type="dxa"/>
            <w:vMerge/>
          </w:tcPr>
          <w:p w:rsidR="00203DA7" w:rsidRPr="008150FE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  <w:vMerge/>
          </w:tcPr>
          <w:p w:rsidR="00203DA7" w:rsidRPr="008150FE" w:rsidRDefault="00203DA7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203DA7" w:rsidRDefault="00203DA7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203DA7" w:rsidRPr="00747774" w:rsidRDefault="004E1262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7" w:type="dxa"/>
            <w:gridSpan w:val="2"/>
          </w:tcPr>
          <w:p w:rsidR="00203DA7" w:rsidRPr="006657A7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16477558,76</w:t>
            </w:r>
          </w:p>
        </w:tc>
        <w:tc>
          <w:tcPr>
            <w:tcW w:w="1134" w:type="dxa"/>
          </w:tcPr>
          <w:p w:rsidR="00203DA7" w:rsidRPr="006657A7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6657A7">
              <w:rPr>
                <w:sz w:val="24"/>
                <w:szCs w:val="24"/>
              </w:rPr>
              <w:t>4269519,07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4074243,40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gridSpan w:val="2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Merge/>
          </w:tcPr>
          <w:p w:rsidR="00203DA7" w:rsidRPr="008150FE" w:rsidRDefault="00203DA7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Привлечение в жилищную сферу дополнительных финансовых средств банков и других организаций,  предоставляющих ипотечные жилищные кредиты и займы для приобретения или строительства индивидуального жилья, а также собственные средства граждан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2021-2025</w:t>
            </w: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внебюджетные</w:t>
            </w: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4460" w:type="dxa"/>
            <w:gridSpan w:val="12"/>
          </w:tcPr>
          <w:p w:rsidR="00F759E8" w:rsidRPr="008150FE" w:rsidRDefault="004E1262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Сбор данных о молодых семьях, участвующих в Программе, формирование сводного списка участников Программы</w:t>
            </w: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Приём документов от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молодых семей,  участвующих в Программе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ежегод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но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DD564C">
              <w:rPr>
                <w:sz w:val="24"/>
                <w:szCs w:val="24"/>
                <w:lang w:eastAsia="ja-JP"/>
              </w:rPr>
              <w:t xml:space="preserve">Отдел образования </w:t>
            </w:r>
            <w:r w:rsidRPr="00DD564C">
              <w:rPr>
                <w:sz w:val="24"/>
                <w:szCs w:val="24"/>
                <w:lang w:eastAsia="ja-JP"/>
              </w:rPr>
              <w:lastRenderedPageBreak/>
              <w:t>администрации Дзержинского района;</w:t>
            </w: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3.3.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4E1262" w:rsidP="00DD564C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3.4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Выдача молодым семьям в установленном порядке </w:t>
            </w:r>
            <w:r>
              <w:rPr>
                <w:sz w:val="24"/>
                <w:szCs w:val="24"/>
                <w:lang w:eastAsia="ja-JP"/>
              </w:rPr>
              <w:t>свидетельства</w:t>
            </w:r>
            <w:r w:rsidRPr="008150FE">
              <w:rPr>
                <w:sz w:val="24"/>
                <w:szCs w:val="24"/>
                <w:lang w:eastAsia="ja-JP"/>
              </w:rPr>
              <w:t xml:space="preserve">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3.5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2021</w:t>
            </w:r>
            <w:r w:rsidRPr="008150FE">
              <w:rPr>
                <w:sz w:val="24"/>
                <w:szCs w:val="24"/>
                <w:lang w:eastAsia="ja-JP"/>
              </w:rPr>
              <w:t>-20</w:t>
            </w:r>
            <w:r>
              <w:rPr>
                <w:sz w:val="24"/>
                <w:szCs w:val="24"/>
                <w:lang w:eastAsia="ja-JP"/>
              </w:rPr>
              <w:t>25</w:t>
            </w: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60" w:type="dxa"/>
            <w:gridSpan w:val="12"/>
          </w:tcPr>
          <w:p w:rsidR="00F759E8" w:rsidRPr="008150FE" w:rsidRDefault="004E1262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4D01F6" w:rsidTr="00FE52D1">
        <w:tc>
          <w:tcPr>
            <w:tcW w:w="708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4.1.</w:t>
            </w:r>
          </w:p>
        </w:tc>
        <w:tc>
          <w:tcPr>
            <w:tcW w:w="2692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Размещение информации  о ходе реализации Программы в  средствах массовой информации, на сайте администрации Дзержинского района 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постоянно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не требует финансирования</w:t>
            </w:r>
          </w:p>
        </w:tc>
        <w:tc>
          <w:tcPr>
            <w:tcW w:w="2409" w:type="dxa"/>
          </w:tcPr>
          <w:p w:rsidR="00F759E8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Отдел образования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редакция</w:t>
            </w:r>
          </w:p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районной газеты «Новое время»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4D01F6" w:rsidTr="00FE52D1">
        <w:tc>
          <w:tcPr>
            <w:tcW w:w="708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92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8150FE">
              <w:rPr>
                <w:sz w:val="24"/>
                <w:szCs w:val="24"/>
                <w:lang w:eastAsia="ja-JP"/>
              </w:rPr>
              <w:t xml:space="preserve">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47" w:type="dxa"/>
            <w:gridSpan w:val="8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E1262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9" w:type="dxa"/>
          </w:tcPr>
          <w:p w:rsidR="00F759E8" w:rsidRPr="008150FE" w:rsidRDefault="004E1262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4E1262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150FE">
        <w:rPr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государственного регулирования порядка расчёта размера и предоставления социальных выплат;</w:t>
      </w:r>
    </w:p>
    <w:p w:rsidR="000E3922" w:rsidRPr="00747774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адресного предоставления бюджетных средств;</w:t>
      </w:r>
    </w:p>
    <w:p w:rsidR="006D06AC" w:rsidRDefault="004E1262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–  использования молодыми семьями собственных и привлечения кредитных и заёмных средств для приобретения жилья или строительства индивидуального жилья. </w:t>
      </w:r>
    </w:p>
    <w:p w:rsidR="00193C6B" w:rsidRPr="008150FE" w:rsidRDefault="004E1262" w:rsidP="00193C6B">
      <w:pPr>
        <w:spacing w:before="100" w:beforeAutospacing="1" w:after="100" w:afterAutospacing="1"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Объем финансирования п</w:t>
      </w:r>
      <w:r w:rsidRPr="008150FE">
        <w:rPr>
          <w:b/>
          <w:sz w:val="24"/>
          <w:szCs w:val="24"/>
        </w:rPr>
        <w:t>рограммы</w:t>
      </w:r>
    </w:p>
    <w:p w:rsidR="00193C6B" w:rsidRPr="00747774" w:rsidRDefault="004E1262" w:rsidP="00193C6B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Источниками финансирования основных направлений </w:t>
      </w:r>
      <w:r w:rsidR="00116E9F">
        <w:rPr>
          <w:sz w:val="24"/>
          <w:szCs w:val="24"/>
        </w:rPr>
        <w:t>Программы</w:t>
      </w:r>
      <w:r w:rsidRPr="00747774">
        <w:rPr>
          <w:sz w:val="24"/>
          <w:szCs w:val="24"/>
        </w:rPr>
        <w:t xml:space="preserve">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64"/>
        <w:gridCol w:w="1418"/>
        <w:gridCol w:w="1417"/>
        <w:gridCol w:w="1418"/>
        <w:gridCol w:w="1134"/>
        <w:gridCol w:w="1134"/>
      </w:tblGrid>
      <w:tr w:rsidR="004D01F6" w:rsidTr="00097C1B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 xml:space="preserve">Всего </w:t>
            </w:r>
          </w:p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A52C2">
              <w:rPr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4E1262" w:rsidP="0010706A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Объемы финансирования (в тыс. руб.)</w:t>
            </w:r>
          </w:p>
        </w:tc>
      </w:tr>
      <w:tr w:rsidR="004D01F6" w:rsidTr="00097C1B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DA52C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2C2" w:rsidRPr="00DA52C2" w:rsidRDefault="004E1262" w:rsidP="00051A20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4E1262" w:rsidP="00DA52C2">
            <w:pPr>
              <w:spacing w:before="100" w:beforeAutospacing="1" w:after="100" w:afterAutospacing="1" w:line="276" w:lineRule="auto"/>
              <w:ind w:firstLine="175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2025 г.</w:t>
            </w:r>
          </w:p>
        </w:tc>
      </w:tr>
      <w:tr w:rsidR="004D01F6" w:rsidTr="00097C1B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A7" w:rsidRPr="00747774" w:rsidRDefault="004E1262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6191931,33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1 204 223,33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1 355 700*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(983125)</w:t>
            </w:r>
          </w:p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(372575*)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920 608</w:t>
            </w:r>
          </w:p>
        </w:tc>
      </w:tr>
      <w:tr w:rsidR="004D01F6" w:rsidTr="00097C1B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4E1262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E36710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E367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  <w:tr w:rsidR="004D01F6" w:rsidTr="00097C1B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747774" w:rsidRDefault="004E1262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A44682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6657A7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16477558,76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4269519,07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4074243,40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4070287,83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4063508,46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7" w:rsidRPr="00F2222B" w:rsidRDefault="004E1262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F2222B">
              <w:rPr>
                <w:sz w:val="24"/>
                <w:szCs w:val="24"/>
              </w:rPr>
              <w:t>0</w:t>
            </w:r>
          </w:p>
        </w:tc>
      </w:tr>
    </w:tbl>
    <w:p w:rsidR="00193C6B" w:rsidRPr="00747774" w:rsidRDefault="004E1262" w:rsidP="00F2222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B3" w:rsidRDefault="00D61CB3">
      <w:r>
        <w:separator/>
      </w:r>
    </w:p>
  </w:endnote>
  <w:endnote w:type="continuationSeparator" w:id="0">
    <w:p w:rsidR="00D61CB3" w:rsidRDefault="00D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B3" w:rsidRDefault="00D61CB3">
      <w:r>
        <w:separator/>
      </w:r>
    </w:p>
  </w:footnote>
  <w:footnote w:type="continuationSeparator" w:id="0">
    <w:p w:rsidR="00D61CB3" w:rsidRDefault="00D6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2B" w:rsidRDefault="00880C2B" w:rsidP="00880C2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892"/>
    <w:multiLevelType w:val="hybridMultilevel"/>
    <w:tmpl w:val="0BDA16FC"/>
    <w:lvl w:ilvl="0" w:tplc="5164F5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33456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FA0D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84D7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CACD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8CB3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A092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4EA9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268A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2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3">
    <w:nsid w:val="11565551"/>
    <w:multiLevelType w:val="hybridMultilevel"/>
    <w:tmpl w:val="9AD0BAEA"/>
    <w:lvl w:ilvl="0" w:tplc="E17E3DC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72663328" w:tentative="1">
      <w:start w:val="1"/>
      <w:numFmt w:val="lowerLetter"/>
      <w:lvlText w:val="%2."/>
      <w:lvlJc w:val="left"/>
      <w:pPr>
        <w:ind w:left="1899" w:hanging="360"/>
      </w:pPr>
    </w:lvl>
    <w:lvl w:ilvl="2" w:tplc="D984415E" w:tentative="1">
      <w:start w:val="1"/>
      <w:numFmt w:val="lowerRoman"/>
      <w:lvlText w:val="%3."/>
      <w:lvlJc w:val="right"/>
      <w:pPr>
        <w:ind w:left="2619" w:hanging="180"/>
      </w:pPr>
    </w:lvl>
    <w:lvl w:ilvl="3" w:tplc="0BB6ADC0" w:tentative="1">
      <w:start w:val="1"/>
      <w:numFmt w:val="decimal"/>
      <w:lvlText w:val="%4."/>
      <w:lvlJc w:val="left"/>
      <w:pPr>
        <w:ind w:left="3339" w:hanging="360"/>
      </w:pPr>
    </w:lvl>
    <w:lvl w:ilvl="4" w:tplc="2A100AA8" w:tentative="1">
      <w:start w:val="1"/>
      <w:numFmt w:val="lowerLetter"/>
      <w:lvlText w:val="%5."/>
      <w:lvlJc w:val="left"/>
      <w:pPr>
        <w:ind w:left="4059" w:hanging="360"/>
      </w:pPr>
    </w:lvl>
    <w:lvl w:ilvl="5" w:tplc="4C20CCF4" w:tentative="1">
      <w:start w:val="1"/>
      <w:numFmt w:val="lowerRoman"/>
      <w:lvlText w:val="%6."/>
      <w:lvlJc w:val="right"/>
      <w:pPr>
        <w:ind w:left="4779" w:hanging="180"/>
      </w:pPr>
    </w:lvl>
    <w:lvl w:ilvl="6" w:tplc="2A2AE8E8" w:tentative="1">
      <w:start w:val="1"/>
      <w:numFmt w:val="decimal"/>
      <w:lvlText w:val="%7."/>
      <w:lvlJc w:val="left"/>
      <w:pPr>
        <w:ind w:left="5499" w:hanging="360"/>
      </w:pPr>
    </w:lvl>
    <w:lvl w:ilvl="7" w:tplc="8CB8D944" w:tentative="1">
      <w:start w:val="1"/>
      <w:numFmt w:val="lowerLetter"/>
      <w:lvlText w:val="%8."/>
      <w:lvlJc w:val="left"/>
      <w:pPr>
        <w:ind w:left="6219" w:hanging="360"/>
      </w:pPr>
    </w:lvl>
    <w:lvl w:ilvl="8" w:tplc="B5D425C4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50181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7EA67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9846C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1A430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1A92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A8D5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C01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6CC4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3605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8D4291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CE44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0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6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AC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E0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88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A2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6BB6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E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EF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E2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3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C4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CE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6E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5A6"/>
    <w:multiLevelType w:val="hybridMultilevel"/>
    <w:tmpl w:val="B8DEB650"/>
    <w:lvl w:ilvl="0" w:tplc="EB28F59A">
      <w:start w:val="1"/>
      <w:numFmt w:val="decimal"/>
      <w:lvlText w:val="%1."/>
      <w:lvlJc w:val="left"/>
      <w:pPr>
        <w:ind w:left="720" w:hanging="360"/>
      </w:pPr>
    </w:lvl>
    <w:lvl w:ilvl="1" w:tplc="99EA3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80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A4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8F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08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0EE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8C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06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51A20"/>
    <w:rsid w:val="00097C1B"/>
    <w:rsid w:val="000E3922"/>
    <w:rsid w:val="000F2E6B"/>
    <w:rsid w:val="000F637B"/>
    <w:rsid w:val="000F7264"/>
    <w:rsid w:val="001021CE"/>
    <w:rsid w:val="001039FE"/>
    <w:rsid w:val="0010706A"/>
    <w:rsid w:val="00116E9F"/>
    <w:rsid w:val="001242D2"/>
    <w:rsid w:val="001318D7"/>
    <w:rsid w:val="0015163E"/>
    <w:rsid w:val="0015500F"/>
    <w:rsid w:val="00160612"/>
    <w:rsid w:val="00167EDE"/>
    <w:rsid w:val="001815B8"/>
    <w:rsid w:val="00187628"/>
    <w:rsid w:val="00192E3C"/>
    <w:rsid w:val="00193C6B"/>
    <w:rsid w:val="001A63B5"/>
    <w:rsid w:val="001D0722"/>
    <w:rsid w:val="001D4980"/>
    <w:rsid w:val="001E159A"/>
    <w:rsid w:val="001F28C0"/>
    <w:rsid w:val="00203DA7"/>
    <w:rsid w:val="002063CA"/>
    <w:rsid w:val="002240B9"/>
    <w:rsid w:val="00234E44"/>
    <w:rsid w:val="002402C0"/>
    <w:rsid w:val="00247E74"/>
    <w:rsid w:val="00250D90"/>
    <w:rsid w:val="002513A4"/>
    <w:rsid w:val="00263CD1"/>
    <w:rsid w:val="00270922"/>
    <w:rsid w:val="002767A2"/>
    <w:rsid w:val="00284801"/>
    <w:rsid w:val="002869FE"/>
    <w:rsid w:val="00290F50"/>
    <w:rsid w:val="002B07B7"/>
    <w:rsid w:val="002B716E"/>
    <w:rsid w:val="002C5B42"/>
    <w:rsid w:val="002D059D"/>
    <w:rsid w:val="002D3F66"/>
    <w:rsid w:val="002D5E44"/>
    <w:rsid w:val="002E68D0"/>
    <w:rsid w:val="003029A8"/>
    <w:rsid w:val="00307991"/>
    <w:rsid w:val="00315A17"/>
    <w:rsid w:val="00324303"/>
    <w:rsid w:val="00350328"/>
    <w:rsid w:val="00353E20"/>
    <w:rsid w:val="00372636"/>
    <w:rsid w:val="00380BD6"/>
    <w:rsid w:val="0039256B"/>
    <w:rsid w:val="00395CFA"/>
    <w:rsid w:val="003A4A33"/>
    <w:rsid w:val="003C03BF"/>
    <w:rsid w:val="003C73B2"/>
    <w:rsid w:val="003F7B69"/>
    <w:rsid w:val="00411111"/>
    <w:rsid w:val="00411D74"/>
    <w:rsid w:val="004152AA"/>
    <w:rsid w:val="004160C6"/>
    <w:rsid w:val="00422818"/>
    <w:rsid w:val="00423898"/>
    <w:rsid w:val="0042752E"/>
    <w:rsid w:val="004646BE"/>
    <w:rsid w:val="004646CF"/>
    <w:rsid w:val="004C3F64"/>
    <w:rsid w:val="004C572C"/>
    <w:rsid w:val="004D01F6"/>
    <w:rsid w:val="004D5941"/>
    <w:rsid w:val="004E1262"/>
    <w:rsid w:val="00502015"/>
    <w:rsid w:val="005072C9"/>
    <w:rsid w:val="005119B1"/>
    <w:rsid w:val="005338DF"/>
    <w:rsid w:val="005537B2"/>
    <w:rsid w:val="00553A4A"/>
    <w:rsid w:val="00556754"/>
    <w:rsid w:val="00570EBB"/>
    <w:rsid w:val="005727C9"/>
    <w:rsid w:val="00576FBF"/>
    <w:rsid w:val="00581641"/>
    <w:rsid w:val="005A2FCE"/>
    <w:rsid w:val="005A5BA5"/>
    <w:rsid w:val="005B2D9B"/>
    <w:rsid w:val="005C6722"/>
    <w:rsid w:val="005D08DD"/>
    <w:rsid w:val="005D37F8"/>
    <w:rsid w:val="005E4E39"/>
    <w:rsid w:val="005F1229"/>
    <w:rsid w:val="006105A8"/>
    <w:rsid w:val="0062339F"/>
    <w:rsid w:val="00655B9F"/>
    <w:rsid w:val="006657A7"/>
    <w:rsid w:val="00671955"/>
    <w:rsid w:val="00680B93"/>
    <w:rsid w:val="0068305A"/>
    <w:rsid w:val="00691327"/>
    <w:rsid w:val="00694194"/>
    <w:rsid w:val="006974E9"/>
    <w:rsid w:val="006A3387"/>
    <w:rsid w:val="006D06AC"/>
    <w:rsid w:val="006D3817"/>
    <w:rsid w:val="006F5E4E"/>
    <w:rsid w:val="00701597"/>
    <w:rsid w:val="007030FA"/>
    <w:rsid w:val="007045B1"/>
    <w:rsid w:val="007100AC"/>
    <w:rsid w:val="00715122"/>
    <w:rsid w:val="007235F8"/>
    <w:rsid w:val="007403B8"/>
    <w:rsid w:val="0074467F"/>
    <w:rsid w:val="00747774"/>
    <w:rsid w:val="0076401D"/>
    <w:rsid w:val="00764AF3"/>
    <w:rsid w:val="0077751A"/>
    <w:rsid w:val="00796CF2"/>
    <w:rsid w:val="007A6FFE"/>
    <w:rsid w:val="007B4191"/>
    <w:rsid w:val="007C68ED"/>
    <w:rsid w:val="007D7862"/>
    <w:rsid w:val="007F5D26"/>
    <w:rsid w:val="00801912"/>
    <w:rsid w:val="00807A32"/>
    <w:rsid w:val="00813639"/>
    <w:rsid w:val="008150FE"/>
    <w:rsid w:val="008175EA"/>
    <w:rsid w:val="00821729"/>
    <w:rsid w:val="00827FA8"/>
    <w:rsid w:val="008301A5"/>
    <w:rsid w:val="00841056"/>
    <w:rsid w:val="0085127A"/>
    <w:rsid w:val="0086221B"/>
    <w:rsid w:val="00866AAC"/>
    <w:rsid w:val="00866BC9"/>
    <w:rsid w:val="00874196"/>
    <w:rsid w:val="00880C2B"/>
    <w:rsid w:val="00881A80"/>
    <w:rsid w:val="00881FBA"/>
    <w:rsid w:val="008C0AE6"/>
    <w:rsid w:val="008D1804"/>
    <w:rsid w:val="008E17FF"/>
    <w:rsid w:val="008E4702"/>
    <w:rsid w:val="00933861"/>
    <w:rsid w:val="00976DBA"/>
    <w:rsid w:val="0098523A"/>
    <w:rsid w:val="00992BFC"/>
    <w:rsid w:val="0099399F"/>
    <w:rsid w:val="009944D1"/>
    <w:rsid w:val="009A5EF3"/>
    <w:rsid w:val="009B1AE9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360E1"/>
    <w:rsid w:val="00A365D3"/>
    <w:rsid w:val="00A43FE5"/>
    <w:rsid w:val="00A44682"/>
    <w:rsid w:val="00A51BC4"/>
    <w:rsid w:val="00A54618"/>
    <w:rsid w:val="00A642F5"/>
    <w:rsid w:val="00A706CE"/>
    <w:rsid w:val="00A731C1"/>
    <w:rsid w:val="00A931BB"/>
    <w:rsid w:val="00A93392"/>
    <w:rsid w:val="00A97161"/>
    <w:rsid w:val="00AA1816"/>
    <w:rsid w:val="00AA31F8"/>
    <w:rsid w:val="00AA5305"/>
    <w:rsid w:val="00AC0794"/>
    <w:rsid w:val="00AC5442"/>
    <w:rsid w:val="00AD6858"/>
    <w:rsid w:val="00AE5B54"/>
    <w:rsid w:val="00AF0D39"/>
    <w:rsid w:val="00AF5BC3"/>
    <w:rsid w:val="00B04910"/>
    <w:rsid w:val="00B060A2"/>
    <w:rsid w:val="00B10DC8"/>
    <w:rsid w:val="00B1290D"/>
    <w:rsid w:val="00B200F8"/>
    <w:rsid w:val="00B27445"/>
    <w:rsid w:val="00B3521A"/>
    <w:rsid w:val="00B52B90"/>
    <w:rsid w:val="00B55105"/>
    <w:rsid w:val="00B642F7"/>
    <w:rsid w:val="00B77D3A"/>
    <w:rsid w:val="00BB5624"/>
    <w:rsid w:val="00BC3B05"/>
    <w:rsid w:val="00C01BA1"/>
    <w:rsid w:val="00C04A27"/>
    <w:rsid w:val="00C322F1"/>
    <w:rsid w:val="00C339E2"/>
    <w:rsid w:val="00C41714"/>
    <w:rsid w:val="00C50915"/>
    <w:rsid w:val="00C579FB"/>
    <w:rsid w:val="00C63DD3"/>
    <w:rsid w:val="00C67EEE"/>
    <w:rsid w:val="00C84C00"/>
    <w:rsid w:val="00C95103"/>
    <w:rsid w:val="00CA421F"/>
    <w:rsid w:val="00CD2A20"/>
    <w:rsid w:val="00D0227C"/>
    <w:rsid w:val="00D12CCC"/>
    <w:rsid w:val="00D2281A"/>
    <w:rsid w:val="00D235DB"/>
    <w:rsid w:val="00D473E3"/>
    <w:rsid w:val="00D61CB3"/>
    <w:rsid w:val="00D63430"/>
    <w:rsid w:val="00D6733E"/>
    <w:rsid w:val="00D7421B"/>
    <w:rsid w:val="00DA52C2"/>
    <w:rsid w:val="00DC7378"/>
    <w:rsid w:val="00DD4114"/>
    <w:rsid w:val="00DD564C"/>
    <w:rsid w:val="00DD5F14"/>
    <w:rsid w:val="00DE0546"/>
    <w:rsid w:val="00DE5E35"/>
    <w:rsid w:val="00E36710"/>
    <w:rsid w:val="00E4177F"/>
    <w:rsid w:val="00E56BF2"/>
    <w:rsid w:val="00E91F9C"/>
    <w:rsid w:val="00EA2EF7"/>
    <w:rsid w:val="00EC04FC"/>
    <w:rsid w:val="00EC0844"/>
    <w:rsid w:val="00ED1FDB"/>
    <w:rsid w:val="00EE3A33"/>
    <w:rsid w:val="00EE606B"/>
    <w:rsid w:val="00EE7FE5"/>
    <w:rsid w:val="00F05F3E"/>
    <w:rsid w:val="00F15986"/>
    <w:rsid w:val="00F21510"/>
    <w:rsid w:val="00F2222B"/>
    <w:rsid w:val="00F34CC6"/>
    <w:rsid w:val="00F62B43"/>
    <w:rsid w:val="00F759E8"/>
    <w:rsid w:val="00F846BA"/>
    <w:rsid w:val="00FA185F"/>
    <w:rsid w:val="00FC636C"/>
    <w:rsid w:val="00FC6A9A"/>
    <w:rsid w:val="00FE52D1"/>
    <w:rsid w:val="00FE7032"/>
    <w:rsid w:val="00FF3019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3F057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298F-4167-4991-8802-8086AB26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2021-06-29T13:07:00Z</cp:lastPrinted>
  <dcterms:created xsi:type="dcterms:W3CDTF">2022-02-03T08:59:00Z</dcterms:created>
  <dcterms:modified xsi:type="dcterms:W3CDTF">2022-02-03T08:59:00Z</dcterms:modified>
</cp:coreProperties>
</file>