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7798" w:rsidRDefault="0008034A">
      <w:pPr>
        <w:pStyle w:val="Heading"/>
        <w:rPr>
          <w:sz w:val="22"/>
          <w:lang w:val="en-US" w:eastAsia="en-US"/>
        </w:rPr>
      </w:pPr>
      <w:r>
        <w:rPr>
          <w:noProof/>
          <w:sz w:val="22"/>
          <w:lang w:eastAsia="ru-RU"/>
        </w:rPr>
        <mc:AlternateContent>
          <mc:Choice Requires="wpg">
            <w:drawing>
              <wp:anchor distT="0" distB="0" distL="114935" distR="114935" simplePos="0" relativeHeight="9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-80645</wp:posOffset>
                </wp:positionV>
                <wp:extent cx="510540" cy="703580"/>
                <wp:effectExtent l="0" t="0" r="0" b="0"/>
                <wp:wrapSquare wrapText="bothSides"/>
                <wp:docPr id="2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7" t="-5" r="-7" b="-4"/>
                        <a:stretch/>
                      </pic:blipFill>
                      <pic:spPr bwMode="auto">
                        <a:xfrm>
                          <a:off x="0" y="0"/>
                          <a:ext cx="510540" cy="70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9;o:allowoverlap:true;o:allowincell:false;mso-position-horizontal-relative:text;margin-left:216.00pt;mso-position-horizontal:absolute;mso-position-vertical-relative:text;margin-top:-6.35pt;mso-position-vertical:absolute;width:40.20pt;height:55.40pt;mso-wrap-distance-left:9.05pt;mso-wrap-distance-top:0.00pt;mso-wrap-distance-right:9.05pt;mso-wrap-distance-bottom:0.00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</w:p>
    <w:p w:rsidR="00D37798" w:rsidRDefault="00D37798">
      <w:pPr>
        <w:pStyle w:val="Heading"/>
        <w:rPr>
          <w:sz w:val="22"/>
        </w:rPr>
      </w:pPr>
    </w:p>
    <w:p w:rsidR="00D37798" w:rsidRDefault="00D37798">
      <w:pPr>
        <w:pStyle w:val="Heading"/>
        <w:rPr>
          <w:sz w:val="22"/>
        </w:rPr>
      </w:pPr>
    </w:p>
    <w:p w:rsidR="00D37798" w:rsidRDefault="00D37798">
      <w:pPr>
        <w:pStyle w:val="Heading"/>
        <w:rPr>
          <w:sz w:val="22"/>
        </w:rPr>
      </w:pPr>
    </w:p>
    <w:p w:rsidR="00D37798" w:rsidRDefault="0008034A">
      <w:pPr>
        <w:pStyle w:val="Heading"/>
      </w:pPr>
      <w:r>
        <w:t>РОССИЙСКАЯ ФЕДЕРАЦИЯ</w:t>
      </w:r>
    </w:p>
    <w:p w:rsidR="00D37798" w:rsidRDefault="0008034A">
      <w:pPr>
        <w:pStyle w:val="a8"/>
      </w:pPr>
      <w:r>
        <w:t>КАЛУЖСКАЯ ОБЛАСТЬ</w:t>
      </w:r>
    </w:p>
    <w:p w:rsidR="00D37798" w:rsidRDefault="0008034A">
      <w:pPr>
        <w:pStyle w:val="a8"/>
      </w:pPr>
      <w:r>
        <w:t>ДЗЕРЖИНСКИЙ РАЙОН</w:t>
      </w:r>
    </w:p>
    <w:p w:rsidR="00D37798" w:rsidRDefault="0008034A">
      <w:pPr>
        <w:pStyle w:val="3"/>
      </w:pPr>
      <w:r>
        <w:rPr>
          <w:b/>
          <w:szCs w:val="24"/>
        </w:rPr>
        <w:t>Городское поселение «Город Кондрово»</w:t>
      </w:r>
    </w:p>
    <w:p w:rsidR="00D37798" w:rsidRDefault="00D37798">
      <w:pPr>
        <w:ind w:right="43" w:firstLine="851"/>
        <w:rPr>
          <w:b/>
          <w:sz w:val="20"/>
          <w:szCs w:val="24"/>
        </w:rPr>
      </w:pPr>
    </w:p>
    <w:p w:rsidR="00D37798" w:rsidRDefault="0008034A">
      <w:pPr>
        <w:pStyle w:val="1"/>
        <w:ind w:firstLine="0"/>
        <w:rPr>
          <w:b/>
        </w:rPr>
      </w:pPr>
      <w:r>
        <w:rPr>
          <w:b/>
        </w:rPr>
        <w:t xml:space="preserve"> ГОРОДСКАЯ   ДУМА</w:t>
      </w:r>
    </w:p>
    <w:p w:rsidR="00D37798" w:rsidRDefault="00D37798">
      <w:pPr>
        <w:ind w:right="43" w:firstLine="851"/>
        <w:rPr>
          <w:b/>
          <w:sz w:val="32"/>
        </w:rPr>
      </w:pPr>
    </w:p>
    <w:p w:rsidR="00D37798" w:rsidRDefault="0008034A">
      <w:pPr>
        <w:pStyle w:val="2"/>
        <w:pBdr>
          <w:bottom w:val="single" w:sz="12" w:space="10" w:color="000000"/>
        </w:pBdr>
        <w:ind w:firstLine="0"/>
        <w:rPr>
          <w:rFonts w:ascii="Book Antiqua" w:hAnsi="Book Antiqua" w:cs="Book Antiqua"/>
        </w:rPr>
      </w:pPr>
      <w:r>
        <w:rPr>
          <w:rFonts w:ascii="Book Antiqua" w:hAnsi="Book Antiqua" w:cs="Book Antiqua"/>
          <w:sz w:val="32"/>
        </w:rPr>
        <w:t xml:space="preserve">Р  Е  Ш  Е  Н  И  Е </w:t>
      </w:r>
    </w:p>
    <w:p w:rsidR="00D37798" w:rsidRDefault="00D37798">
      <w:pPr>
        <w:ind w:right="43"/>
        <w:rPr>
          <w:rFonts w:ascii="Book Antiqua" w:hAnsi="Book Antiqua" w:cs="Book Antiqua"/>
        </w:rPr>
      </w:pPr>
    </w:p>
    <w:p w:rsidR="00D37798" w:rsidRDefault="0008034A">
      <w:pPr>
        <w:rPr>
          <w:b/>
        </w:rPr>
      </w:pPr>
      <w:r>
        <w:rPr>
          <w:color w:val="008000"/>
          <w:sz w:val="26"/>
        </w:rPr>
        <w:t>«_</w:t>
      </w:r>
      <w:r>
        <w:rPr>
          <w:b/>
          <w:color w:val="008000"/>
          <w:sz w:val="26"/>
          <w:u w:val="single"/>
        </w:rPr>
        <w:t>24</w:t>
      </w:r>
      <w:r>
        <w:rPr>
          <w:color w:val="008000"/>
          <w:sz w:val="26"/>
        </w:rPr>
        <w:t>_»___</w:t>
      </w:r>
      <w:r>
        <w:rPr>
          <w:b/>
          <w:i/>
          <w:color w:val="008000"/>
          <w:sz w:val="26"/>
          <w:u w:val="single"/>
        </w:rPr>
        <w:t>июня</w:t>
      </w:r>
      <w:r>
        <w:rPr>
          <w:color w:val="008000"/>
          <w:sz w:val="26"/>
        </w:rPr>
        <w:t>___</w:t>
      </w:r>
      <w:r>
        <w:rPr>
          <w:b/>
          <w:bCs/>
          <w:color w:val="008000"/>
          <w:sz w:val="22"/>
        </w:rPr>
        <w:t>2016 г</w:t>
      </w:r>
      <w:r>
        <w:rPr>
          <w:color w:val="008000"/>
          <w:sz w:val="22"/>
        </w:rPr>
        <w:t>.                                                                                             №___</w:t>
      </w:r>
      <w:r>
        <w:rPr>
          <w:b/>
          <w:color w:val="008000"/>
          <w:sz w:val="26"/>
          <w:szCs w:val="26"/>
          <w:u w:val="single"/>
        </w:rPr>
        <w:t>29</w:t>
      </w:r>
      <w:r>
        <w:rPr>
          <w:color w:val="008000"/>
          <w:sz w:val="22"/>
        </w:rPr>
        <w:t>___</w:t>
      </w:r>
    </w:p>
    <w:p w:rsidR="00D37798" w:rsidRDefault="00D3779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7798" w:rsidRDefault="00D3779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7798" w:rsidRDefault="0008034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Положения о бюджетном </w:t>
      </w:r>
    </w:p>
    <w:p w:rsidR="00D37798" w:rsidRDefault="0008034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процессе в городском  поселении </w:t>
      </w:r>
    </w:p>
    <w:p w:rsidR="00D37798" w:rsidRDefault="0008034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 Кондрово»</w:t>
      </w:r>
    </w:p>
    <w:p w:rsidR="00D37798" w:rsidRDefault="00D37798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7798" w:rsidRDefault="00D37798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7798" w:rsidRDefault="00D3779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7798" w:rsidRDefault="0008034A">
      <w:pPr>
        <w:pStyle w:val="ConsNormal"/>
        <w:widowControl/>
        <w:ind w:righ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Кондрово», с целью приведения в соответствие с полож</w:t>
      </w:r>
      <w:r>
        <w:rPr>
          <w:rFonts w:ascii="Times New Roman" w:hAnsi="Times New Roman" w:cs="Times New Roman"/>
          <w:sz w:val="26"/>
          <w:szCs w:val="26"/>
        </w:rPr>
        <w:t>ениями действующего законодательства, Кондровская городская Дума –</w:t>
      </w:r>
    </w:p>
    <w:p w:rsidR="00D37798" w:rsidRDefault="0008034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РЕШИЛА:</w:t>
      </w:r>
    </w:p>
    <w:p w:rsidR="00D37798" w:rsidRDefault="0008034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Положение о бюджетном процессе в городском поселении «Город Кондрово» (прилагается).</w:t>
      </w:r>
    </w:p>
    <w:p w:rsidR="00D37798" w:rsidRDefault="0008034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его подписания, но не ранее чем чере</w:t>
      </w:r>
      <w:r>
        <w:rPr>
          <w:rFonts w:ascii="Times New Roman" w:hAnsi="Times New Roman" w:cs="Times New Roman"/>
          <w:sz w:val="26"/>
          <w:szCs w:val="26"/>
        </w:rPr>
        <w:t>з месяц после его официального опубликования.</w:t>
      </w:r>
    </w:p>
    <w:p w:rsidR="00D37798" w:rsidRDefault="0008034A">
      <w:pPr>
        <w:pStyle w:val="ConsNormal"/>
        <w:widowControl/>
        <w:ind w:righ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 Решение Кондровской городской Думы от 22 июня 2009 года № 59 «Об утверждении Положения о бюджетном процессе в городском поселении «Город Кондрово» признать утратившим силу со дня вступления настоящего Решени</w:t>
      </w:r>
      <w:r>
        <w:rPr>
          <w:rFonts w:ascii="Times New Roman" w:hAnsi="Times New Roman" w:cs="Times New Roman"/>
          <w:sz w:val="26"/>
          <w:szCs w:val="26"/>
        </w:rPr>
        <w:t>я в силу.</w:t>
      </w:r>
    </w:p>
    <w:p w:rsidR="00D37798" w:rsidRDefault="0008034A">
      <w:pPr>
        <w:pStyle w:val="ConsNormal"/>
        <w:widowControl/>
        <w:ind w:righ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 Опубликовать настоящее Решение в газете «Кондрово за неделю».</w:t>
      </w:r>
    </w:p>
    <w:p w:rsidR="00D37798" w:rsidRDefault="00D3779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7798" w:rsidRDefault="00D3779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7798" w:rsidRDefault="00D3779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7798" w:rsidRDefault="0008034A">
      <w:pPr>
        <w:ind w:right="-1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Заместитель Председателя городской </w:t>
      </w:r>
    </w:p>
    <w:p w:rsidR="00D37798" w:rsidRDefault="0008034A">
      <w:pPr>
        <w:ind w:right="-1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Думы городского поселения «Город Кондрово»                           А.А. АДАМИДИ </w:t>
      </w:r>
    </w:p>
    <w:p w:rsidR="00D37798" w:rsidRDefault="00D37798">
      <w:pPr>
        <w:ind w:firstLine="709"/>
        <w:jc w:val="right"/>
        <w:rPr>
          <w:b/>
          <w:i/>
          <w:sz w:val="22"/>
          <w:szCs w:val="22"/>
        </w:rPr>
      </w:pPr>
    </w:p>
    <w:p w:rsidR="00D37798" w:rsidRDefault="00D37798">
      <w:pPr>
        <w:ind w:firstLine="709"/>
        <w:jc w:val="right"/>
        <w:rPr>
          <w:sz w:val="22"/>
          <w:szCs w:val="22"/>
        </w:rPr>
      </w:pPr>
    </w:p>
    <w:p w:rsidR="00D37798" w:rsidRDefault="00D37798">
      <w:pPr>
        <w:ind w:firstLine="709"/>
        <w:jc w:val="right"/>
        <w:rPr>
          <w:sz w:val="22"/>
          <w:szCs w:val="22"/>
        </w:rPr>
      </w:pPr>
    </w:p>
    <w:p w:rsidR="00D37798" w:rsidRDefault="00D37798">
      <w:pPr>
        <w:ind w:firstLine="709"/>
        <w:jc w:val="right"/>
        <w:rPr>
          <w:sz w:val="22"/>
          <w:szCs w:val="22"/>
        </w:rPr>
      </w:pPr>
    </w:p>
    <w:p w:rsidR="00D37798" w:rsidRDefault="00D37798">
      <w:pPr>
        <w:ind w:firstLine="709"/>
        <w:jc w:val="right"/>
        <w:rPr>
          <w:sz w:val="22"/>
          <w:szCs w:val="22"/>
        </w:rPr>
      </w:pPr>
    </w:p>
    <w:p w:rsidR="00D37798" w:rsidRDefault="00D37798">
      <w:pPr>
        <w:ind w:firstLine="709"/>
        <w:jc w:val="right"/>
        <w:rPr>
          <w:sz w:val="22"/>
          <w:szCs w:val="22"/>
        </w:rPr>
      </w:pPr>
    </w:p>
    <w:p w:rsidR="00D37798" w:rsidRDefault="00D37798">
      <w:pPr>
        <w:ind w:firstLine="709"/>
        <w:jc w:val="right"/>
        <w:rPr>
          <w:sz w:val="22"/>
          <w:szCs w:val="22"/>
        </w:rPr>
      </w:pPr>
    </w:p>
    <w:p w:rsidR="00D37798" w:rsidRDefault="00D37798">
      <w:pPr>
        <w:ind w:firstLine="709"/>
        <w:jc w:val="right"/>
        <w:rPr>
          <w:sz w:val="22"/>
          <w:szCs w:val="22"/>
        </w:rPr>
      </w:pPr>
    </w:p>
    <w:p w:rsidR="00D37798" w:rsidRDefault="00D37798">
      <w:pPr>
        <w:ind w:firstLine="709"/>
        <w:jc w:val="right"/>
        <w:rPr>
          <w:sz w:val="22"/>
          <w:szCs w:val="22"/>
        </w:rPr>
      </w:pPr>
    </w:p>
    <w:p w:rsidR="00D37798" w:rsidRDefault="00D37798">
      <w:pPr>
        <w:ind w:firstLine="709"/>
        <w:jc w:val="right"/>
        <w:rPr>
          <w:sz w:val="22"/>
          <w:szCs w:val="22"/>
        </w:rPr>
      </w:pPr>
    </w:p>
    <w:p w:rsidR="00D37798" w:rsidRDefault="00D37798">
      <w:pPr>
        <w:ind w:firstLine="709"/>
        <w:jc w:val="right"/>
        <w:rPr>
          <w:sz w:val="22"/>
          <w:szCs w:val="22"/>
        </w:rPr>
      </w:pPr>
    </w:p>
    <w:p w:rsidR="00D37798" w:rsidRDefault="00D37798">
      <w:pPr>
        <w:ind w:firstLine="709"/>
        <w:jc w:val="right"/>
        <w:rPr>
          <w:sz w:val="22"/>
          <w:szCs w:val="22"/>
        </w:rPr>
      </w:pPr>
    </w:p>
    <w:p w:rsidR="00D37798" w:rsidRDefault="00D37798">
      <w:pPr>
        <w:ind w:firstLine="709"/>
        <w:jc w:val="right"/>
        <w:rPr>
          <w:sz w:val="22"/>
          <w:szCs w:val="22"/>
        </w:rPr>
      </w:pPr>
    </w:p>
    <w:p w:rsidR="00D37798" w:rsidRDefault="0008034A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ПРИЛОЖЕНИЕ</w:t>
      </w:r>
    </w:p>
    <w:p w:rsidR="00D37798" w:rsidRDefault="0008034A">
      <w:pPr>
        <w:ind w:left="4536"/>
        <w:jc w:val="center"/>
      </w:pPr>
      <w:r>
        <w:rPr>
          <w:sz w:val="26"/>
          <w:szCs w:val="26"/>
        </w:rPr>
        <w:t xml:space="preserve">к Решению Кондровской городской Думы </w:t>
      </w:r>
    </w:p>
    <w:p w:rsidR="00D37798" w:rsidRDefault="0008034A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29</w:t>
      </w:r>
      <w:r>
        <w:rPr>
          <w:sz w:val="26"/>
          <w:szCs w:val="26"/>
        </w:rPr>
        <w:t xml:space="preserve"> от  </w:t>
      </w:r>
      <w:r>
        <w:rPr>
          <w:sz w:val="26"/>
          <w:szCs w:val="26"/>
          <w:u w:val="single"/>
        </w:rPr>
        <w:t>24.06.2016 года</w:t>
      </w:r>
    </w:p>
    <w:p w:rsidR="00D37798" w:rsidRDefault="00D377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37798" w:rsidRDefault="00D377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37798" w:rsidRDefault="000803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D37798" w:rsidRDefault="000803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БЮДЖЕТНОМ ПРОЦЕССЕ </w:t>
      </w:r>
    </w:p>
    <w:p w:rsidR="00D37798" w:rsidRDefault="0008034A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6"/>
          <w:szCs w:val="26"/>
        </w:rPr>
        <w:t>в городском поселении «Город Кондрово»</w:t>
      </w:r>
    </w:p>
    <w:p w:rsidR="00D37798" w:rsidRDefault="00D37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7798" w:rsidRDefault="0008034A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 1. Общие положения</w:t>
      </w:r>
    </w:p>
    <w:p w:rsidR="00D37798" w:rsidRDefault="0008034A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1.1.  Настоящее </w:t>
      </w:r>
      <w:r>
        <w:rPr>
          <w:rFonts w:ascii="Times New Roman" w:hAnsi="Times New Roman" w:cs="Times New Roman"/>
          <w:sz w:val="26"/>
          <w:szCs w:val="26"/>
        </w:rPr>
        <w:t>Положение о бюджетном процессе в городском поселении «Город Кондрово» (далее по тексту – Положение) устанавливает порядок составления и рассмотрения проекта  бюджета  городского поселения «Город  Кондрово» (далее по тексту – городского поселения) на очеред</w:t>
      </w:r>
      <w:r>
        <w:rPr>
          <w:rFonts w:ascii="Times New Roman" w:hAnsi="Times New Roman" w:cs="Times New Roman"/>
          <w:sz w:val="26"/>
          <w:szCs w:val="26"/>
        </w:rPr>
        <w:t>ной финансовый год и плановый период, утверждения и исполнения бюджета городского поселения, осуществления контроля за его исполнением, утверждения годового отчета об исполнении  бюджета городского поселения.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37798" w:rsidRDefault="0008034A">
      <w:pPr>
        <w:pStyle w:val="ConsPlusNormal"/>
        <w:widowControl/>
        <w:ind w:firstLine="567"/>
        <w:jc w:val="both"/>
        <w:outlineLvl w:val="0"/>
      </w:pPr>
      <w:r>
        <w:rPr>
          <w:rFonts w:ascii="Times New Roman" w:hAnsi="Times New Roman" w:cs="Times New Roman"/>
          <w:bCs/>
          <w:sz w:val="26"/>
          <w:szCs w:val="26"/>
        </w:rPr>
        <w:t xml:space="preserve">1.2.  Проект бюджета </w:t>
      </w:r>
      <w:r>
        <w:rPr>
          <w:rFonts w:ascii="Times New Roman" w:hAnsi="Times New Roman" w:cs="Times New Roman"/>
          <w:sz w:val="26"/>
          <w:szCs w:val="26"/>
        </w:rPr>
        <w:t>городского поселения сост</w:t>
      </w:r>
      <w:r>
        <w:rPr>
          <w:rFonts w:ascii="Times New Roman" w:hAnsi="Times New Roman" w:cs="Times New Roman"/>
          <w:sz w:val="26"/>
          <w:szCs w:val="26"/>
        </w:rPr>
        <w:t>авляется на очередной финансовый год и плановый период.</w:t>
      </w:r>
    </w:p>
    <w:p w:rsidR="00D37798" w:rsidRDefault="0008034A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1.3.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Проект бюджета </w:t>
      </w:r>
      <w:r>
        <w:rPr>
          <w:rFonts w:ascii="Times New Roman" w:hAnsi="Times New Roman" w:cs="Times New Roman"/>
          <w:sz w:val="26"/>
          <w:szCs w:val="26"/>
        </w:rPr>
        <w:t>городского поселения утверждается Решением Кондровской городской Думы городского поселения «Город  Кондрово» (далее по тексту – Городской Думы).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До рассмотрения Городской Думой проекта Решения о бюджете городского поселения на очередной финансовый год и плановый период проводятся публичные слушания по данному проекту Решения.</w:t>
      </w:r>
    </w:p>
    <w:p w:rsidR="00D37798" w:rsidRDefault="0008034A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1.5.   Решение об утверждении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sz w:val="26"/>
          <w:szCs w:val="26"/>
        </w:rPr>
        <w:t xml:space="preserve">городского поселения вступает </w:t>
      </w:r>
      <w:r>
        <w:rPr>
          <w:rFonts w:ascii="Times New Roman" w:hAnsi="Times New Roman" w:cs="Times New Roman"/>
          <w:sz w:val="26"/>
          <w:szCs w:val="26"/>
        </w:rPr>
        <w:t>в силу с 1 января и действует по 31 декабря очередного финансового года, если иное не  предусмотрено в данном Решении.</w:t>
      </w:r>
    </w:p>
    <w:p w:rsidR="00D37798" w:rsidRDefault="0008034A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1.6.  Решение об утверждении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sz w:val="26"/>
          <w:szCs w:val="26"/>
        </w:rPr>
        <w:t>городского поселения подлежит официальному опубликованию не позднее десяти дней после его подписания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установленном порядке.</w:t>
      </w:r>
    </w:p>
    <w:p w:rsidR="00D37798" w:rsidRDefault="000803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 Бюджетная отчетность городского поселения является годовой. Отчет об исполнении бюджета является ежеквартальным.</w:t>
      </w:r>
    </w:p>
    <w:p w:rsidR="00D37798" w:rsidRDefault="0008034A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1.8. Отчеты об исполнении бюджета городского поселения за первый квартал, полугодие и девять месяцев текущего ф</w:t>
      </w:r>
      <w:r>
        <w:rPr>
          <w:rFonts w:ascii="Times New Roman" w:hAnsi="Times New Roman" w:cs="Times New Roman"/>
          <w:sz w:val="26"/>
          <w:szCs w:val="26"/>
        </w:rPr>
        <w:t>инансового года утверждаются Постановлением городской Управы городского поселения,  и направляются для рассмотрения в Кондровскую городскую Думу, а также в  контрольно-счетную комиссию муниципального района «Дзержинский район».</w:t>
      </w:r>
    </w:p>
    <w:p w:rsidR="00D37798" w:rsidRDefault="000803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 Годовой отчет об исполн</w:t>
      </w:r>
      <w:r>
        <w:rPr>
          <w:rFonts w:ascii="Times New Roman" w:hAnsi="Times New Roman" w:cs="Times New Roman"/>
          <w:sz w:val="26"/>
          <w:szCs w:val="26"/>
        </w:rPr>
        <w:t>ении бюджета городского поселения подлежит утверждению Решением Кондровской городской Думы городского поселения.</w:t>
      </w:r>
    </w:p>
    <w:p w:rsidR="00D37798" w:rsidRDefault="00D377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7798" w:rsidRDefault="0008034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 2. Правовая основа бюджетного процесса в </w:t>
      </w:r>
    </w:p>
    <w:p w:rsidR="00D37798" w:rsidRDefault="0008034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городском поселении «Город Кондрово»</w:t>
      </w:r>
    </w:p>
    <w:p w:rsidR="00D37798" w:rsidRDefault="0008034A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2.1. Правовую основу бюджетного процесса в городском пос</w:t>
      </w:r>
      <w:r>
        <w:rPr>
          <w:rFonts w:ascii="Times New Roman" w:hAnsi="Times New Roman" w:cs="Times New Roman"/>
          <w:sz w:val="26"/>
          <w:szCs w:val="26"/>
        </w:rPr>
        <w:t>елении составляют Конституция Российской Федерации, Бюджетный кодекс Российской Федерации, федеральные законы,  иные правовые акты Российской Федерации, законы Калужской области, регулирующие бюджетные правоотношения, Устав городского поселения «Город Конд</w:t>
      </w:r>
      <w:r>
        <w:rPr>
          <w:rFonts w:ascii="Times New Roman" w:hAnsi="Times New Roman" w:cs="Times New Roman"/>
          <w:sz w:val="26"/>
          <w:szCs w:val="26"/>
        </w:rPr>
        <w:t>рово», настоящее положение и иные.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D37798" w:rsidRDefault="0008034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 3. Порядок и сроки составления проекта бюджета </w:t>
      </w:r>
    </w:p>
    <w:p w:rsidR="00D37798" w:rsidRDefault="0008034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городского поселения на оче</w:t>
      </w:r>
      <w:r>
        <w:rPr>
          <w:rFonts w:ascii="Times New Roman" w:hAnsi="Times New Roman" w:cs="Times New Roman"/>
          <w:b/>
          <w:bCs/>
          <w:sz w:val="26"/>
          <w:szCs w:val="26"/>
        </w:rPr>
        <w:t>редной финансовый год и плановый период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Порядок и сроки составления проекта бюджета городского поселения на очередной финансовый год и плановый период в соответствии с законодательством устанавливаются Постановлением городской Управы исходя из необход</w:t>
      </w:r>
      <w:r>
        <w:rPr>
          <w:rFonts w:ascii="Times New Roman" w:hAnsi="Times New Roman" w:cs="Times New Roman"/>
          <w:sz w:val="26"/>
          <w:szCs w:val="26"/>
        </w:rPr>
        <w:t>имости представления проекта Решения о бюджете городского поселения на очередной финансовый год в Городскую  Думу не позднее 15 ноября текущего года.</w:t>
      </w:r>
    </w:p>
    <w:p w:rsidR="00D37798" w:rsidRDefault="00D377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7798" w:rsidRDefault="0008034A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4. Решение Городской Думы о бюджете городского поселения на очередной финансовый год и плановый пе</w:t>
      </w:r>
      <w:r>
        <w:rPr>
          <w:rFonts w:ascii="Times New Roman" w:hAnsi="Times New Roman" w:cs="Times New Roman"/>
          <w:b/>
          <w:bCs/>
          <w:sz w:val="26"/>
          <w:szCs w:val="26"/>
        </w:rPr>
        <w:t>риод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В Решении Городской Думы о бюджете городского поселения на очередной финансовый год и плановый период должны содержаться основные характеристики  бюджета городского поселения: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общий объем доходов бюджета городского поселения;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общий объем ра</w:t>
      </w:r>
      <w:r>
        <w:rPr>
          <w:rFonts w:ascii="Times New Roman" w:hAnsi="Times New Roman" w:cs="Times New Roman"/>
          <w:sz w:val="26"/>
          <w:szCs w:val="26"/>
        </w:rPr>
        <w:t>сходов бюджета городского поселения;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дефицит (профицит) бюджета городского поселения.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иные показатели, установленные Бюджетным Кодексом Российской Федерации, решениями Городской Думы (кроме решений о бюджете).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 Решением Городской Думы о бюджете городского поселения на очередной финансовый год и плановый период утверждаются: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перечень главных администраторов доходов бюджета городского поселения;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перечень главных администраторов источников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дефицита бюджета городского поселения;</w:t>
      </w:r>
    </w:p>
    <w:p w:rsidR="00D37798" w:rsidRDefault="0008034A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в) распределение бюдже</w:t>
      </w:r>
      <w:r>
        <w:rPr>
          <w:rFonts w:ascii="Times New Roman" w:hAnsi="Times New Roman" w:cs="Times New Roman"/>
          <w:sz w:val="26"/>
          <w:szCs w:val="26"/>
        </w:rPr>
        <w:t>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 видов расходов классификации расходов бюджетов на очередной финансовый год и плановый период;</w:t>
      </w:r>
    </w:p>
    <w:p w:rsidR="00D37798" w:rsidRDefault="0008034A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г) распределение бюджетных ассигнований по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ведомственная структура расходов бюджета городского поселения на очередной финансовый год и плановый период;</w:t>
      </w:r>
    </w:p>
    <w:p w:rsidR="00D37798" w:rsidRDefault="000803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е) общий объем бюджетных ассигнований, направляемых на исполнение публичных нормативных обязательств;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объем межбюджетных трансфертов, получае</w:t>
      </w:r>
      <w:r>
        <w:rPr>
          <w:rFonts w:ascii="Times New Roman" w:hAnsi="Times New Roman" w:cs="Times New Roman"/>
          <w:sz w:val="26"/>
          <w:szCs w:val="26"/>
        </w:rPr>
        <w:t>мых из других бюджетов и (или) предоставляемых другим бюджетам бюджетной системы Российской Федерации на очередной финансовый год и плановый период;</w:t>
      </w:r>
    </w:p>
    <w:p w:rsidR="00D37798" w:rsidRDefault="0008034A">
      <w:pPr>
        <w:widowControl w:val="0"/>
        <w:ind w:firstLine="567"/>
        <w:jc w:val="both"/>
      </w:pPr>
      <w:r>
        <w:rPr>
          <w:sz w:val="26"/>
          <w:szCs w:val="26"/>
        </w:rPr>
        <w:t xml:space="preserve">з) </w:t>
      </w:r>
      <w:r>
        <w:rPr>
          <w:sz w:val="26"/>
          <w:szCs w:val="26"/>
          <w:lang w:eastAsia="en-US"/>
        </w:rPr>
        <w:t xml:space="preserve"> общий объем условно утверждаемых расходов на первый год планового периода в объеме не менее 2,5 процент</w:t>
      </w:r>
      <w:r>
        <w:rPr>
          <w:sz w:val="26"/>
          <w:szCs w:val="26"/>
          <w:lang w:eastAsia="en-US"/>
        </w:rPr>
        <w:t xml:space="preserve">а общего объема расходов бюджета городского поселения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- в </w:t>
      </w:r>
      <w:r>
        <w:rPr>
          <w:sz w:val="26"/>
          <w:szCs w:val="26"/>
          <w:lang w:eastAsia="en-US"/>
        </w:rPr>
        <w:t xml:space="preserve">объеме не менее 5 процентов общего объема расходов бюджета </w:t>
      </w:r>
      <w:r>
        <w:rPr>
          <w:sz w:val="26"/>
          <w:szCs w:val="26"/>
        </w:rPr>
        <w:t>городского</w:t>
      </w:r>
      <w:r>
        <w:rPr>
          <w:sz w:val="26"/>
          <w:szCs w:val="26"/>
          <w:lang w:eastAsia="en-US"/>
        </w:rPr>
        <w:t xml:space="preserve"> поселения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источни</w:t>
      </w:r>
      <w:r>
        <w:rPr>
          <w:rFonts w:ascii="Times New Roman" w:hAnsi="Times New Roman" w:cs="Times New Roman"/>
          <w:sz w:val="26"/>
          <w:szCs w:val="26"/>
        </w:rPr>
        <w:t>ки финансирования дефицита бюджета городского поселения  на очередной финансовый год и плановый период;</w:t>
      </w:r>
    </w:p>
    <w:p w:rsidR="00D37798" w:rsidRDefault="0008034A">
      <w:pPr>
        <w:widowControl w:val="0"/>
        <w:ind w:firstLine="567"/>
        <w:jc w:val="both"/>
      </w:pPr>
      <w:r>
        <w:rPr>
          <w:sz w:val="26"/>
          <w:szCs w:val="26"/>
        </w:rPr>
        <w:t xml:space="preserve">к) </w:t>
      </w:r>
      <w:r>
        <w:rPr>
          <w:sz w:val="26"/>
          <w:szCs w:val="26"/>
          <w:lang w:eastAsia="en-US"/>
        </w:rPr>
        <w:t xml:space="preserve"> верхний предел муниципального внутреннего долга </w:t>
      </w:r>
      <w:r>
        <w:rPr>
          <w:sz w:val="26"/>
          <w:szCs w:val="26"/>
        </w:rPr>
        <w:t>городского</w:t>
      </w:r>
      <w:r>
        <w:rPr>
          <w:sz w:val="26"/>
          <w:szCs w:val="26"/>
          <w:lang w:eastAsia="en-US"/>
        </w:rPr>
        <w:t xml:space="preserve"> поселения по </w:t>
      </w:r>
      <w:r>
        <w:rPr>
          <w:sz w:val="26"/>
          <w:szCs w:val="26"/>
          <w:lang w:eastAsia="en-US"/>
        </w:rPr>
        <w:lastRenderedPageBreak/>
        <w:t>состоянию на 1 января года, следующего за очередным финансовым годом и кажды</w:t>
      </w:r>
      <w:r>
        <w:rPr>
          <w:sz w:val="26"/>
          <w:szCs w:val="26"/>
          <w:lang w:eastAsia="en-US"/>
        </w:rPr>
        <w:t>м годом планового периода, с указанием в том числе верхнего предела долга по муниципальным гарантиям;</w:t>
      </w:r>
    </w:p>
    <w:p w:rsidR="00D37798" w:rsidRDefault="0008034A">
      <w:pPr>
        <w:widowControl w:val="0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н) иные показатели, установленные Бюджетным кодексом Российской Федерации, законами Калужской области и решениями Городской Думы.</w:t>
      </w:r>
    </w:p>
    <w:p w:rsidR="00D37798" w:rsidRDefault="00D37798">
      <w:pPr>
        <w:widowControl w:val="0"/>
        <w:ind w:firstLine="567"/>
        <w:jc w:val="both"/>
        <w:rPr>
          <w:sz w:val="26"/>
          <w:szCs w:val="26"/>
          <w:lang w:eastAsia="en-US"/>
        </w:rPr>
      </w:pPr>
    </w:p>
    <w:p w:rsidR="00D37798" w:rsidRDefault="0008034A">
      <w:pPr>
        <w:pStyle w:val="ConsPlusNormal"/>
        <w:widowControl/>
        <w:ind w:firstLine="567"/>
        <w:jc w:val="center"/>
        <w:outlineLvl w:val="0"/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5. Документы и м</w:t>
      </w:r>
      <w:r>
        <w:rPr>
          <w:rFonts w:ascii="Times New Roman" w:hAnsi="Times New Roman" w:cs="Times New Roman"/>
          <w:b/>
          <w:bCs/>
          <w:sz w:val="26"/>
          <w:szCs w:val="26"/>
        </w:rPr>
        <w:t>атериалы, представляемые одновременно с проектом Решения  Кондровской городской Думы о бюджете городского поселения на очередной финансовый год и плановый период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Одновременно с проектом Решения Городской Думы </w:t>
      </w:r>
      <w:r>
        <w:rPr>
          <w:rFonts w:ascii="Times New Roman" w:hAnsi="Times New Roman" w:cs="Times New Roman"/>
          <w:bCs/>
          <w:sz w:val="26"/>
          <w:szCs w:val="26"/>
        </w:rPr>
        <w:t>о бюджете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городского поселения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очередно</w:t>
      </w:r>
      <w:r>
        <w:rPr>
          <w:rFonts w:ascii="Times New Roman" w:hAnsi="Times New Roman" w:cs="Times New Roman"/>
          <w:sz w:val="26"/>
          <w:szCs w:val="26"/>
        </w:rPr>
        <w:t>й финансовый год и плановый период представляются следующие документы и материалы: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предварительные итоги социально-экономического развития городского поселения за истекший период текущего финансового года и ожидаемые итоги социально-экономического разви</w:t>
      </w:r>
      <w:r>
        <w:rPr>
          <w:rFonts w:ascii="Times New Roman" w:hAnsi="Times New Roman" w:cs="Times New Roman"/>
          <w:sz w:val="26"/>
          <w:szCs w:val="26"/>
        </w:rPr>
        <w:t>тия городского поселения за текущий финансовый год;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прогноз социально-экономического развития городского поселения на очередной финансовый год и плановый период;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пояснительная записка к проекту бюджета;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методики (проекты методик) и расчеты распред</w:t>
      </w:r>
      <w:r>
        <w:rPr>
          <w:rFonts w:ascii="Times New Roman" w:hAnsi="Times New Roman" w:cs="Times New Roman"/>
          <w:sz w:val="26"/>
          <w:szCs w:val="26"/>
        </w:rPr>
        <w:t>еления межбюджетных трансфертов, предоставляемых из бюджета городского поселения бюджету муниципального района;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оценка ожидаемого исполнения бюджета городского поселения на текущий финансовый год;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верхний предел муниципального долга на 1 января года,</w:t>
      </w:r>
      <w:r>
        <w:rPr>
          <w:rFonts w:ascii="Times New Roman" w:hAnsi="Times New Roman" w:cs="Times New Roman"/>
          <w:sz w:val="26"/>
          <w:szCs w:val="26"/>
        </w:rPr>
        <w:t xml:space="preserve"> следующего за  очередным финансовым годом и каждым годом планового периода;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реестры источников доходов бюджета городского поселения;</w:t>
      </w:r>
    </w:p>
    <w:p w:rsidR="00D37798" w:rsidRDefault="0008034A">
      <w:pPr>
        <w:widowControl w:val="0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з) прогноз основных характеристик (общий объем доходов, общий объем расходов, дефицита (профицита) бюджета городского п</w:t>
      </w:r>
      <w:r>
        <w:rPr>
          <w:sz w:val="26"/>
          <w:szCs w:val="26"/>
          <w:lang w:eastAsia="en-US"/>
        </w:rPr>
        <w:t>оселения на очередной финансовый год и плановый период;</w:t>
      </w:r>
    </w:p>
    <w:p w:rsidR="00D37798" w:rsidRDefault="0008034A">
      <w:pPr>
        <w:widowControl w:val="0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и) основные направления бюджетной и налоговой политике городского поселения на очередной финансовый год и плановый период;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 распределение бюджетных ассигнований по разделам и подразделам классификац</w:t>
      </w:r>
      <w:r>
        <w:rPr>
          <w:rFonts w:ascii="Times New Roman" w:hAnsi="Times New Roman" w:cs="Times New Roman"/>
          <w:sz w:val="26"/>
          <w:szCs w:val="26"/>
        </w:rPr>
        <w:t>ии расходов бюджета;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л) паспорта муниципальных программ;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м) иные документы и материалы.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Одновременно с проектом Решения о бюджете городского поселения на очередной финансовый год в Городскую Думу могут направляться иные материалы и документы, а также проекты нормативных правовых актов городского поселения.</w:t>
      </w:r>
    </w:p>
    <w:p w:rsidR="00D37798" w:rsidRDefault="00D377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7798" w:rsidRDefault="0008034A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6. Подготовка проекта Решения о бюджете городского поселения на очередной финансовый год и плановый период для внесения его на рассмотрение в Городскую Думу</w:t>
      </w:r>
    </w:p>
    <w:p w:rsidR="00D37798" w:rsidRDefault="0008034A">
      <w:pPr>
        <w:pStyle w:val="ConsPlusNormal"/>
        <w:widowControl/>
        <w:ind w:firstLine="567"/>
        <w:jc w:val="both"/>
        <w:outlineLvl w:val="0"/>
      </w:pPr>
      <w:r>
        <w:rPr>
          <w:rFonts w:ascii="Times New Roman" w:hAnsi="Times New Roman" w:cs="Times New Roman"/>
          <w:sz w:val="26"/>
          <w:szCs w:val="26"/>
        </w:rPr>
        <w:t>6.1. Проект Решения о бюджете городского поселения на очередной финансовый год и плановый пе</w:t>
      </w:r>
      <w:r>
        <w:rPr>
          <w:rFonts w:ascii="Times New Roman" w:hAnsi="Times New Roman" w:cs="Times New Roman"/>
          <w:sz w:val="26"/>
          <w:szCs w:val="26"/>
        </w:rPr>
        <w:t>риод представляется Главой городской Управы  в Городскую Думу  не позднее 15 ноября текущего года.</w:t>
      </w:r>
    </w:p>
    <w:p w:rsidR="00D37798" w:rsidRDefault="0008034A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6.2. В течение одного дня со дня внесения проекта Решения о бюджете городского поселения на очередной финансовый год и плановый период в Городскую Думу Глава</w:t>
      </w:r>
      <w:r>
        <w:rPr>
          <w:rFonts w:ascii="Times New Roman" w:hAnsi="Times New Roman" w:cs="Times New Roman"/>
          <w:sz w:val="26"/>
          <w:szCs w:val="26"/>
        </w:rPr>
        <w:t xml:space="preserve"> городского поселения направляет его в постоянные комиссии Городской Думы, депутатам Городской Думы, а так же в контрольно-счетную комиссию муниципального района «Дзержинский район».</w:t>
      </w:r>
    </w:p>
    <w:p w:rsidR="00D37798" w:rsidRDefault="0008034A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6.3. Контрольно-счетная комиссия муниципального района «Дзержинский район</w:t>
      </w:r>
      <w:r>
        <w:rPr>
          <w:rFonts w:ascii="Times New Roman" w:hAnsi="Times New Roman" w:cs="Times New Roman"/>
          <w:sz w:val="26"/>
          <w:szCs w:val="26"/>
        </w:rPr>
        <w:t xml:space="preserve">» в течение 10 дней со дня получения проекта Решения о бюджете городского поселения на очередной финансовый год и плановый период рассматривает проект Решения о бюджете городского поселения и направляет свое заключение на него в Городскую Думу и городскую </w:t>
      </w:r>
      <w:r>
        <w:rPr>
          <w:rFonts w:ascii="Times New Roman" w:hAnsi="Times New Roman" w:cs="Times New Roman"/>
          <w:sz w:val="26"/>
          <w:szCs w:val="26"/>
        </w:rPr>
        <w:t>Управу  городского поселения.</w:t>
      </w:r>
    </w:p>
    <w:p w:rsidR="00D37798" w:rsidRDefault="0008034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Постоянные комиссии Городской Думы в течение 10 дней рассматривают проект решения о бюджете городского поселения на очередной финансовый год и плановый период и подготавливают заключения по проекту решения о бюджете город</w:t>
      </w:r>
      <w:r>
        <w:rPr>
          <w:rFonts w:ascii="Times New Roman" w:hAnsi="Times New Roman" w:cs="Times New Roman"/>
          <w:sz w:val="26"/>
          <w:szCs w:val="26"/>
        </w:rPr>
        <w:t xml:space="preserve">ского поселения с указанием недостатков данного проекта в случае их выявления. </w:t>
      </w:r>
    </w:p>
    <w:p w:rsidR="00D37798" w:rsidRDefault="0008034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6.5. Заключения постоянных комиссий Городской Думы учитываются при подготовке депутатами Городской Думы  поправок к проекту решения о бюджете городского поселения на очередной </w:t>
      </w:r>
      <w:r>
        <w:rPr>
          <w:rFonts w:ascii="Times New Roman" w:hAnsi="Times New Roman" w:cs="Times New Roman"/>
          <w:sz w:val="26"/>
          <w:szCs w:val="26"/>
        </w:rPr>
        <w:t xml:space="preserve">финансовый год и плановый период. </w:t>
      </w:r>
    </w:p>
    <w:p w:rsidR="00D37798" w:rsidRDefault="0008034A">
      <w:pPr>
        <w:pStyle w:val="ConsNormal"/>
        <w:widowControl/>
        <w:ind w:right="0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6.6. В случае возникновения несогласованных вопросов по проекту решения о бюджете городского поселения решением Главы поселения может создаваться согласительная комиссия, в которую входит равное количество представителей </w:t>
      </w:r>
      <w:r>
        <w:rPr>
          <w:rFonts w:ascii="Times New Roman" w:hAnsi="Times New Roman" w:cs="Times New Roman"/>
          <w:sz w:val="26"/>
          <w:szCs w:val="26"/>
        </w:rPr>
        <w:t>Городской Управы городского поселения и Городской Думы.</w:t>
      </w:r>
    </w:p>
    <w:p w:rsidR="00D37798" w:rsidRDefault="0008034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Согласительная комиссия рассматривает  спорные  вопросы  в  период с 25 ноября по 1 декабря текущего года в соответствии с регламентом, утвержденным главой поселения.</w:t>
      </w:r>
    </w:p>
    <w:p w:rsidR="00D37798" w:rsidRDefault="0008034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согласительной комиссии п</w:t>
      </w:r>
      <w:r>
        <w:rPr>
          <w:rFonts w:ascii="Times New Roman" w:hAnsi="Times New Roman" w:cs="Times New Roman"/>
          <w:sz w:val="26"/>
          <w:szCs w:val="26"/>
        </w:rPr>
        <w:t>ринимается раздельным голосованием членов согласительной комиссии от представителей администрации сельского поселения и Городской Думы (далее – стороны). Решение считается принятым стороной, если за него проголосовало большинство присутствующих на заседани</w:t>
      </w:r>
      <w:r>
        <w:rPr>
          <w:rFonts w:ascii="Times New Roman" w:hAnsi="Times New Roman" w:cs="Times New Roman"/>
          <w:sz w:val="26"/>
          <w:szCs w:val="26"/>
        </w:rPr>
        <w:t>и согласительной комиссии представителей данной стороны. Результаты голосования каждой стороны принимаются за один голос. Решение считается согласованным, если его поддержали обе стороны. Решение, против которого возражает одна из сторон, считается несогла</w:t>
      </w:r>
      <w:r>
        <w:rPr>
          <w:rFonts w:ascii="Times New Roman" w:hAnsi="Times New Roman" w:cs="Times New Roman"/>
          <w:sz w:val="26"/>
          <w:szCs w:val="26"/>
        </w:rPr>
        <w:t>сованным.</w:t>
      </w:r>
    </w:p>
    <w:p w:rsidR="00D37798" w:rsidRDefault="0008034A">
      <w:pPr>
        <w:pStyle w:val="ConsNormal"/>
        <w:widowControl/>
        <w:ind w:right="0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6.6.  Городская Дума рассматривает проект решения о бюджете  городского поселения на очередной финансовый год и плановый период не позднее 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декабря текущего года. </w:t>
      </w:r>
    </w:p>
    <w:p w:rsidR="00D37798" w:rsidRDefault="0008034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 Принятое Городской Думой решение о бюджете городского поселения на очередной</w:t>
      </w:r>
      <w:r>
        <w:rPr>
          <w:rFonts w:ascii="Times New Roman" w:hAnsi="Times New Roman" w:cs="Times New Roman"/>
          <w:sz w:val="26"/>
          <w:szCs w:val="26"/>
        </w:rPr>
        <w:t xml:space="preserve"> финансовый год и плановый период направляется Главе городского поселения для подписания и опубликования в соответствии с регламентом Городской Думы. </w:t>
      </w:r>
    </w:p>
    <w:p w:rsidR="00D37798" w:rsidRDefault="00D3779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7798" w:rsidRDefault="0008034A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 7. Предметы рассмотрения и порядок принятия проекта </w:t>
      </w:r>
    </w:p>
    <w:p w:rsidR="00D37798" w:rsidRDefault="0008034A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Решения о бюджете городского поселения </w:t>
      </w:r>
    </w:p>
    <w:p w:rsidR="00D37798" w:rsidRDefault="0008034A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о</w:t>
      </w:r>
      <w:r>
        <w:rPr>
          <w:rFonts w:ascii="Times New Roman" w:hAnsi="Times New Roman" w:cs="Times New Roman"/>
          <w:b/>
          <w:bCs/>
          <w:sz w:val="26"/>
          <w:szCs w:val="26"/>
        </w:rPr>
        <w:t>чередной финансовый год и плановый период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До начала рассмотрения проекта Решения о бюджете городского поселения на очередной финансовый год и плановый период, обсуждаются предварительные итоги социально-экономического развития городского поселения тек</w:t>
      </w:r>
      <w:r>
        <w:rPr>
          <w:rFonts w:ascii="Times New Roman" w:hAnsi="Times New Roman" w:cs="Times New Roman"/>
          <w:sz w:val="26"/>
          <w:szCs w:val="26"/>
        </w:rPr>
        <w:t>ущего финансового года, прогноз социально-экономического развития  городского поселения на очередной финансовый год и плановый период.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Предметом рассмотрения проекта Решения о бюджете городского поселения на очередной финансовый год и плановый период </w:t>
      </w:r>
      <w:r>
        <w:rPr>
          <w:rFonts w:ascii="Times New Roman" w:hAnsi="Times New Roman" w:cs="Times New Roman"/>
          <w:sz w:val="26"/>
          <w:szCs w:val="26"/>
        </w:rPr>
        <w:t>является утверждение основных характеристик  бюджета городского поселения, к которым относятся: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общий объем доходов бюджета городского поселения на очередной финансовый год и плановый период;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общий объем расходов бюджета городского поселения на очередн</w:t>
      </w:r>
      <w:r>
        <w:rPr>
          <w:rFonts w:ascii="Times New Roman" w:hAnsi="Times New Roman" w:cs="Times New Roman"/>
          <w:sz w:val="26"/>
          <w:szCs w:val="26"/>
        </w:rPr>
        <w:t>ой финансовый год и плановый период;</w:t>
      </w:r>
    </w:p>
    <w:p w:rsidR="00D37798" w:rsidRDefault="0008034A">
      <w:pPr>
        <w:widowControl w:val="0"/>
        <w:ind w:firstLine="567"/>
        <w:jc w:val="both"/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 xml:space="preserve"> условно утверждаемые расходы на первый год планового периода в объеме не </w:t>
      </w:r>
      <w:r>
        <w:rPr>
          <w:sz w:val="26"/>
          <w:szCs w:val="26"/>
          <w:lang w:eastAsia="en-US"/>
        </w:rPr>
        <w:lastRenderedPageBreak/>
        <w:t>менее 2,5 процента общего объема расходов бюджета городского поселения (без учета расходов бюджета, предусмотренных за счет межбюджетных трансф</w:t>
      </w:r>
      <w:r>
        <w:rPr>
          <w:sz w:val="26"/>
          <w:szCs w:val="26"/>
          <w:lang w:eastAsia="en-US"/>
        </w:rPr>
        <w:t>ертов из других бюджетов бюджетной системы Российской Федерации, имеющих целевое назначение), на второй год планового периода - в объеме не менее 5 процентов общего объема расходов бюджета городского поселения (без учета расходов бюджета, предусмотренных з</w:t>
      </w:r>
      <w:r>
        <w:rPr>
          <w:sz w:val="26"/>
          <w:szCs w:val="26"/>
          <w:lang w:eastAsia="en-US"/>
        </w:rPr>
        <w:t>а счет межбюджетных трансфертов из других бюджетов бюджетной системы Российской Федерации, имеющих целевое назначение);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дефицит (профицит) бюджета городского поселения на очередной финансовый год и плановый период;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верхний предел муниципального долга городского поселения на конец очередного финансового года и конец каждого планового периода.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При рассмотрении проекта  бюджета на очередной финансовый год утверждаются:</w:t>
      </w:r>
    </w:p>
    <w:p w:rsidR="00D37798" w:rsidRDefault="0008034A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бюджетные ассигнования (за исключением усл</w:t>
      </w:r>
      <w:r>
        <w:rPr>
          <w:rFonts w:ascii="Times New Roman" w:hAnsi="Times New Roman" w:cs="Times New Roman"/>
          <w:sz w:val="26"/>
          <w:szCs w:val="26"/>
        </w:rPr>
        <w:t>овно утвержденных расходов)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</w:t>
      </w:r>
      <w:r>
        <w:rPr>
          <w:rFonts w:ascii="Times New Roman" w:hAnsi="Times New Roman" w:cs="Times New Roman"/>
          <w:sz w:val="26"/>
          <w:szCs w:val="26"/>
        </w:rPr>
        <w:t>й период в пределах общего объема расходов  бюджета городского поселения на очередной финансовый год и плановый период;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бюджетные ассигнования (за исключением условно утвержденных расходов) по целевым статьям (муниципальным программам и внепрограммным на</w:t>
      </w:r>
      <w:r>
        <w:rPr>
          <w:rFonts w:ascii="Times New Roman" w:hAnsi="Times New Roman" w:cs="Times New Roman"/>
          <w:sz w:val="26"/>
          <w:szCs w:val="26"/>
        </w:rPr>
        <w:t>правлениям деятельности), группам (группам и подгруппам) видов расходов классификации расходов бюджетов на очередной финансовый год и плановый период в пределах общего объема расходов  бюджета городского поселения на очередной финансовый год и плановый пер</w:t>
      </w:r>
      <w:r>
        <w:rPr>
          <w:rFonts w:ascii="Times New Roman" w:hAnsi="Times New Roman" w:cs="Times New Roman"/>
          <w:sz w:val="26"/>
          <w:szCs w:val="26"/>
        </w:rPr>
        <w:t>иод;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ведомственная структура расходов бюджета городского поселения на очередной финансовый год и плановый период в пределах общего объема расходов  бюджета городского поселения на очередной финансовый год и плановый период;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перечень главных администра</w:t>
      </w:r>
      <w:r>
        <w:rPr>
          <w:rFonts w:ascii="Times New Roman" w:hAnsi="Times New Roman" w:cs="Times New Roman"/>
          <w:sz w:val="26"/>
          <w:szCs w:val="26"/>
        </w:rPr>
        <w:t>торов доходов  бюджета городского поселения;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перечень главных администраторов источников финансирования дефицита бюджета городского поселения;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программа муниципальных внутренних заимствований на очередной финансовый год и плановый период;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программа м</w:t>
      </w:r>
      <w:r>
        <w:rPr>
          <w:rFonts w:ascii="Times New Roman" w:hAnsi="Times New Roman" w:cs="Times New Roman"/>
          <w:sz w:val="26"/>
          <w:szCs w:val="26"/>
        </w:rPr>
        <w:t>униципальных  гарантий на очередной финансовый год и плановый период;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источники финансирования дефицита бюджета городского поселения на очередной финансовый год и плановый период в соответствии со статьей 96 Бюджетного кодекса Российской Федерации.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тек</w:t>
      </w:r>
      <w:r>
        <w:rPr>
          <w:rFonts w:ascii="Times New Roman" w:hAnsi="Times New Roman" w:cs="Times New Roman"/>
          <w:sz w:val="26"/>
          <w:szCs w:val="26"/>
        </w:rPr>
        <w:t>стовые статьи проекта Решения о бюджете городского поселения на очередной финансовый год и плановый период.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При рассмотрении проекта  бюджета на очередной финансовый год и плановый период производится: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 голосование поправок, внесенных депутатами;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голосование поправок, рекомендованных к принятию согласительной комиссией;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рассмотрение и принятие решений по вопросам, по которым не принято решение согласительной комиссией;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голосование проекта решения о бюджете городского поселения на очередной финансовый год и плановый период.</w:t>
      </w:r>
    </w:p>
    <w:p w:rsidR="00D37798" w:rsidRDefault="0008034A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7.5. Решение о бюджете городского поселения на очередной финансовый год и плановый период должно быть рассмотрено, утверждено Городской Думой, подпи</w:t>
      </w:r>
      <w:r>
        <w:rPr>
          <w:rFonts w:ascii="Times New Roman" w:hAnsi="Times New Roman" w:cs="Times New Roman"/>
          <w:sz w:val="26"/>
          <w:szCs w:val="26"/>
        </w:rPr>
        <w:t>сано Главой городского поселения и опубликовано до начала очередного финансового года.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7.6. Изменения и дополнения, вносимые в ходе исполнения бюджета городского поселения в части увеличения его расходной части, должны быть документально обоснованы, а такж</w:t>
      </w:r>
      <w:r>
        <w:rPr>
          <w:rFonts w:ascii="Times New Roman" w:hAnsi="Times New Roman" w:cs="Times New Roman"/>
          <w:sz w:val="26"/>
          <w:szCs w:val="26"/>
        </w:rPr>
        <w:t xml:space="preserve">е определен источник доходов, позволяющий внести соответствующие изменения. </w:t>
      </w:r>
    </w:p>
    <w:p w:rsidR="00D37798" w:rsidRDefault="00D377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7798" w:rsidRDefault="0008034A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 8. Порядок представления, рассмотрения годового отчета </w:t>
      </w:r>
    </w:p>
    <w:p w:rsidR="00D37798" w:rsidRDefault="0008034A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исполнении бюджета городского поселения</w:t>
      </w:r>
    </w:p>
    <w:p w:rsidR="00D37798" w:rsidRDefault="0008034A">
      <w:pPr>
        <w:widowControl w:val="0"/>
        <w:ind w:firstLine="567"/>
        <w:jc w:val="both"/>
      </w:pPr>
      <w:r>
        <w:rPr>
          <w:bCs/>
          <w:sz w:val="26"/>
          <w:szCs w:val="26"/>
        </w:rPr>
        <w:t xml:space="preserve">8.1 </w:t>
      </w:r>
      <w:r>
        <w:rPr>
          <w:sz w:val="26"/>
          <w:szCs w:val="26"/>
          <w:lang w:eastAsia="en-US"/>
        </w:rPr>
        <w:t>Годовой отчет об исполнении бюджета городского поселения до его расс</w:t>
      </w:r>
      <w:r>
        <w:rPr>
          <w:sz w:val="26"/>
          <w:szCs w:val="26"/>
          <w:lang w:eastAsia="en-US"/>
        </w:rPr>
        <w:t>мотрения Городской Думой подлежит внешней проверке и подготовке заключения на годовой отчет об исполнении бюджета городского поселения.</w:t>
      </w:r>
    </w:p>
    <w:p w:rsidR="00D37798" w:rsidRDefault="0008034A">
      <w:pPr>
        <w:widowControl w:val="0"/>
        <w:ind w:firstLine="567"/>
        <w:jc w:val="both"/>
      </w:pPr>
      <w:r>
        <w:rPr>
          <w:sz w:val="26"/>
          <w:szCs w:val="26"/>
          <w:lang w:eastAsia="en-US"/>
        </w:rPr>
        <w:t xml:space="preserve">8.2. Внешняя проверка годового отчета об исполнении бюджета городского поселения осуществляется </w:t>
      </w:r>
      <w:r>
        <w:rPr>
          <w:sz w:val="26"/>
          <w:szCs w:val="26"/>
        </w:rPr>
        <w:t>контрольно-счетной комис</w:t>
      </w:r>
      <w:r>
        <w:rPr>
          <w:sz w:val="26"/>
          <w:szCs w:val="26"/>
        </w:rPr>
        <w:t>сией муниципального района «Дзержинский район»</w:t>
      </w:r>
    </w:p>
    <w:p w:rsidR="00D37798" w:rsidRDefault="0008034A">
      <w:pPr>
        <w:widowControl w:val="0"/>
        <w:ind w:firstLine="567"/>
        <w:jc w:val="both"/>
      </w:pPr>
      <w:r>
        <w:rPr>
          <w:bCs/>
          <w:sz w:val="26"/>
          <w:szCs w:val="26"/>
        </w:rPr>
        <w:t>8.3. Городская Управа городского поселения</w:t>
      </w:r>
      <w:r>
        <w:rPr>
          <w:sz w:val="26"/>
          <w:szCs w:val="26"/>
          <w:lang w:eastAsia="en-US"/>
        </w:rPr>
        <w:t xml:space="preserve"> представляет годовой отчет об исполнении бюджета городского поселения для подготовки заключения на него в </w:t>
      </w:r>
      <w:r>
        <w:rPr>
          <w:sz w:val="26"/>
          <w:szCs w:val="26"/>
        </w:rPr>
        <w:t>контрольно-счетную комиссию муниципального района «Дзержинск</w:t>
      </w:r>
      <w:r>
        <w:rPr>
          <w:sz w:val="26"/>
          <w:szCs w:val="26"/>
        </w:rPr>
        <w:t xml:space="preserve">ий район» </w:t>
      </w:r>
      <w:r>
        <w:rPr>
          <w:sz w:val="26"/>
          <w:szCs w:val="26"/>
          <w:lang w:eastAsia="en-US"/>
        </w:rPr>
        <w:t xml:space="preserve">не позднее </w:t>
      </w:r>
      <w:r>
        <w:rPr>
          <w:b/>
          <w:sz w:val="26"/>
          <w:szCs w:val="26"/>
          <w:lang w:eastAsia="en-US"/>
        </w:rPr>
        <w:t>1 апреля</w:t>
      </w:r>
      <w:r>
        <w:rPr>
          <w:sz w:val="26"/>
          <w:szCs w:val="26"/>
          <w:lang w:eastAsia="en-US"/>
        </w:rPr>
        <w:t xml:space="preserve"> текущего года.</w:t>
      </w:r>
    </w:p>
    <w:p w:rsidR="00D37798" w:rsidRDefault="0008034A">
      <w:pPr>
        <w:widowControl w:val="0"/>
        <w:ind w:firstLine="567"/>
        <w:jc w:val="both"/>
      </w:pPr>
      <w:r>
        <w:rPr>
          <w:sz w:val="26"/>
          <w:szCs w:val="26"/>
          <w:lang w:eastAsia="en-US"/>
        </w:rPr>
        <w:t>8.4. К</w:t>
      </w:r>
      <w:r>
        <w:rPr>
          <w:sz w:val="26"/>
          <w:szCs w:val="26"/>
        </w:rPr>
        <w:t>онтрольно-счетная комиссия муниципального района «Дзержинский район»</w:t>
      </w:r>
      <w:r>
        <w:rPr>
          <w:sz w:val="26"/>
          <w:szCs w:val="26"/>
          <w:lang w:eastAsia="en-US"/>
        </w:rPr>
        <w:t xml:space="preserve"> готовит заключение на годовой отчет об исполнении бюджета городского поселения в соответствии с бюджетным законодательством и направляет</w:t>
      </w:r>
      <w:r>
        <w:rPr>
          <w:sz w:val="26"/>
          <w:szCs w:val="26"/>
          <w:lang w:eastAsia="en-US"/>
        </w:rPr>
        <w:t xml:space="preserve"> его в Городскую Думу и в Городскую Управу городского  поселения.</w:t>
      </w:r>
    </w:p>
    <w:p w:rsidR="00D37798" w:rsidRDefault="0008034A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8.5. Годовой отчет об исполнении бюджета городского поселения представляется в Городскую Думу не позднее </w:t>
      </w:r>
      <w:r>
        <w:rPr>
          <w:rFonts w:ascii="Times New Roman" w:hAnsi="Times New Roman" w:cs="Times New Roman"/>
          <w:b/>
          <w:sz w:val="26"/>
          <w:szCs w:val="26"/>
        </w:rPr>
        <w:t>1 мая</w:t>
      </w:r>
      <w:r>
        <w:rPr>
          <w:rFonts w:ascii="Times New Roman" w:hAnsi="Times New Roman" w:cs="Times New Roman"/>
          <w:sz w:val="26"/>
          <w:szCs w:val="26"/>
        </w:rPr>
        <w:t xml:space="preserve"> текущего года в форме проекта Решения об исполнении бюджета городского поселения за отчетный финансовый год.</w:t>
      </w:r>
    </w:p>
    <w:p w:rsidR="00D37798" w:rsidRDefault="0008034A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8.6. Решением Городской Думы об исполнении бюджета городского поселения утверждается отчет об исполнении бюджета городского поселения за отчетный </w:t>
      </w:r>
      <w:r>
        <w:rPr>
          <w:rFonts w:ascii="Times New Roman" w:hAnsi="Times New Roman" w:cs="Times New Roman"/>
          <w:sz w:val="26"/>
          <w:szCs w:val="26"/>
        </w:rPr>
        <w:t>финансовый год с указанием общего объема доходов, расходов и дефицита (профицита)  бюджета городского поселения.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доходов бюджета городского поселе</w:t>
      </w:r>
      <w:r>
        <w:rPr>
          <w:rFonts w:ascii="Times New Roman" w:hAnsi="Times New Roman" w:cs="Times New Roman"/>
          <w:sz w:val="26"/>
          <w:szCs w:val="26"/>
        </w:rPr>
        <w:t>ния по кодам классификации доходов бюджета;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расходов бюджета городского поселения по ведомственной структуре расходов бюджета;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расходов бюджета городского поселения по разделам и подразделам классификации расходов бюджета;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источников финансирования д</w:t>
      </w:r>
      <w:r>
        <w:rPr>
          <w:rFonts w:ascii="Times New Roman" w:hAnsi="Times New Roman" w:cs="Times New Roman"/>
          <w:sz w:val="26"/>
          <w:szCs w:val="26"/>
        </w:rPr>
        <w:t>ефицита бюджета городского поселения по кодам классификации источников финансирования дефицита бюджета;</w:t>
      </w:r>
    </w:p>
    <w:p w:rsidR="00D37798" w:rsidRDefault="000803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Одновременно с проектом Решения об исполнении бюджета городского поселения представляются иные документы, предусмотренные законодательством.</w:t>
      </w:r>
    </w:p>
    <w:p w:rsidR="00D37798" w:rsidRDefault="0008034A">
      <w:pPr>
        <w:pStyle w:val="ConsNormal"/>
        <w:widowControl/>
        <w:ind w:right="0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8.7. В тече</w:t>
      </w:r>
      <w:r>
        <w:rPr>
          <w:rFonts w:ascii="Times New Roman" w:hAnsi="Times New Roman" w:cs="Times New Roman"/>
          <w:sz w:val="26"/>
          <w:szCs w:val="26"/>
        </w:rPr>
        <w:t xml:space="preserve">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суток </w:t>
      </w:r>
      <w:r>
        <w:rPr>
          <w:rFonts w:ascii="Times New Roman" w:hAnsi="Times New Roman" w:cs="Times New Roman"/>
          <w:sz w:val="26"/>
          <w:szCs w:val="26"/>
        </w:rPr>
        <w:t xml:space="preserve">со дня внесения годового отчета об исполнении бюджета городского поселения в Городскую Думу данный отчет направляется для рассмотрения в постоянные комиссии Городской Думы. </w:t>
      </w:r>
    </w:p>
    <w:p w:rsidR="00D37798" w:rsidRDefault="0008034A">
      <w:pPr>
        <w:pStyle w:val="ConsNormal"/>
        <w:widowControl/>
        <w:ind w:right="0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8.8. Постоянные комиссии Городской Думы в </w:t>
      </w:r>
      <w:r>
        <w:rPr>
          <w:rFonts w:ascii="Times New Roman" w:hAnsi="Times New Roman" w:cs="Times New Roman"/>
          <w:b/>
          <w:sz w:val="26"/>
          <w:szCs w:val="26"/>
        </w:rPr>
        <w:t>месячный</w:t>
      </w:r>
      <w:r>
        <w:rPr>
          <w:rFonts w:ascii="Times New Roman" w:hAnsi="Times New Roman" w:cs="Times New Roman"/>
          <w:sz w:val="26"/>
          <w:szCs w:val="26"/>
        </w:rPr>
        <w:t xml:space="preserve"> срок рассматривают го</w:t>
      </w:r>
      <w:r>
        <w:rPr>
          <w:rFonts w:ascii="Times New Roman" w:hAnsi="Times New Roman" w:cs="Times New Roman"/>
          <w:sz w:val="26"/>
          <w:szCs w:val="26"/>
        </w:rPr>
        <w:t>довой отчет об исполнении бюджета городского поселения и заключение к нему, представленное контрольно-счетной комиссией муниципального района «Дзержинский район».</w:t>
      </w:r>
    </w:p>
    <w:p w:rsidR="00D37798" w:rsidRDefault="0008034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8.9. Городская Дума при рассмотрении Годового отчета об исполнении бюджета  городского поселе</w:t>
      </w:r>
      <w:r>
        <w:rPr>
          <w:rFonts w:ascii="Times New Roman" w:hAnsi="Times New Roman" w:cs="Times New Roman"/>
          <w:sz w:val="26"/>
          <w:szCs w:val="26"/>
        </w:rPr>
        <w:t xml:space="preserve">ния заслушивает доклад уполномоченного должностного лица администрации поселения об исполнении бюджета городского поселения за отчетный финансовый год, а также доклады и заключения по указанному отчету председателей постоянных комиссий Городской Думы. </w:t>
      </w:r>
    </w:p>
    <w:p w:rsidR="00D37798" w:rsidRDefault="0008034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>
        <w:rPr>
          <w:rFonts w:ascii="Times New Roman" w:hAnsi="Times New Roman" w:cs="Times New Roman"/>
          <w:sz w:val="26"/>
          <w:szCs w:val="26"/>
        </w:rPr>
        <w:t>0. По итогам рассмотрения отчета об исполнении бюджета городского поселения Городская Дума принимает одно из следующих решений:</w:t>
      </w:r>
    </w:p>
    <w:p w:rsidR="00D37798" w:rsidRDefault="0008034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утверждении отчета об исполнении бюджета городского поселения;</w:t>
      </w:r>
    </w:p>
    <w:p w:rsidR="00D37798" w:rsidRDefault="0008034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отклонении отчета об исполнении бюджета городского поселения.</w:t>
      </w:r>
    </w:p>
    <w:p w:rsidR="00D37798" w:rsidRDefault="0008034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отклонения Городской Думой решения об исполнения бюджета за отчетный финансовый год он возвращается для устранения фактов недостоверности или неполного отражения данных и повторног</w:t>
      </w:r>
      <w:r>
        <w:rPr>
          <w:rFonts w:ascii="Times New Roman" w:hAnsi="Times New Roman" w:cs="Times New Roman"/>
          <w:sz w:val="26"/>
          <w:szCs w:val="26"/>
        </w:rPr>
        <w:t>о представления в срок, не превышающий один месяц.</w:t>
      </w:r>
    </w:p>
    <w:p w:rsidR="00D37798" w:rsidRDefault="00D3779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7798" w:rsidRDefault="0008034A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9. Ответственность за бюджетные правонарушения</w:t>
      </w:r>
    </w:p>
    <w:p w:rsidR="00D37798" w:rsidRDefault="0008034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Ответственность за бюджетные правонарушения в городском поселении наступает по основаниям и в формах, предусмотренных Бюджетным кодексом Российск</w:t>
      </w:r>
      <w:r>
        <w:rPr>
          <w:rFonts w:ascii="Times New Roman" w:hAnsi="Times New Roman" w:cs="Times New Roman"/>
          <w:sz w:val="26"/>
          <w:szCs w:val="26"/>
        </w:rPr>
        <w:t xml:space="preserve">ой Федерации и иным федеральным законодательством. </w:t>
      </w:r>
    </w:p>
    <w:p w:rsidR="00D37798" w:rsidRDefault="00D3779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7798" w:rsidRDefault="0008034A">
      <w:pPr>
        <w:pStyle w:val="ConsPlusNormal"/>
        <w:widowControl/>
        <w:ind w:firstLine="540"/>
        <w:jc w:val="center"/>
        <w:outlineLvl w:val="1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</w:rPr>
        <w:t>10. Обеспечение прозрачности (открытости) бюджетного процесса</w:t>
      </w:r>
    </w:p>
    <w:p w:rsidR="00D37798" w:rsidRDefault="000803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 Основными формами обеспечения прозрачности (открытости) бюджетного процесса являются:</w:t>
      </w:r>
    </w:p>
    <w:p w:rsidR="00D37798" w:rsidRDefault="000803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обязательное опубликование в средствах м</w:t>
      </w:r>
      <w:r>
        <w:rPr>
          <w:rFonts w:ascii="Times New Roman" w:hAnsi="Times New Roman" w:cs="Times New Roman"/>
          <w:sz w:val="26"/>
          <w:szCs w:val="26"/>
        </w:rPr>
        <w:t>ассовой информации проекта бюджета городского поселения на очередной финансовый год, внесенного в Городскую Думу;</w:t>
      </w:r>
    </w:p>
    <w:p w:rsidR="00D37798" w:rsidRDefault="000803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обязательное опубликование в средств</w:t>
      </w:r>
      <w:r>
        <w:rPr>
          <w:rFonts w:ascii="Times New Roman" w:hAnsi="Times New Roman" w:cs="Times New Roman"/>
          <w:sz w:val="26"/>
          <w:szCs w:val="26"/>
        </w:rPr>
        <w:t>ах массовой информации утвержденных бюджетов, годовых отчетов об их исполнении, решений Городской Думы о внесении изменений в утвержденный бюджет городского поселения на текущий финансовый год, иной информации в соответствии с действующим законодательством</w:t>
      </w:r>
    </w:p>
    <w:p w:rsidR="00D37798" w:rsidRDefault="000803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обязательное проведение публичных слушаний по проекту бюджета городского поселения и отчету о его исполнении;</w:t>
      </w:r>
    </w:p>
    <w:p w:rsidR="00D37798" w:rsidRDefault="000803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-открытый характер заседаний Городской Думы при рассмотрении и утверждении проекта бюджета городского поселения и отчетов о его исполнении.</w:t>
      </w:r>
    </w:p>
    <w:p w:rsidR="00D37798" w:rsidRDefault="00D37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7798" w:rsidRDefault="0008034A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</w:t>
      </w:r>
      <w:r>
        <w:rPr>
          <w:rFonts w:ascii="Times New Roman" w:hAnsi="Times New Roman" w:cs="Times New Roman"/>
          <w:b/>
          <w:bCs/>
          <w:sz w:val="26"/>
          <w:szCs w:val="26"/>
        </w:rPr>
        <w:t>здел 11. Вступление в силу настоящего  Положения</w:t>
      </w:r>
    </w:p>
    <w:p w:rsidR="00D37798" w:rsidRDefault="0008034A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11.1. Настоящее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Положение </w:t>
      </w:r>
      <w:r>
        <w:rPr>
          <w:rFonts w:ascii="Times New Roman" w:hAnsi="Times New Roman" w:cs="Times New Roman"/>
          <w:sz w:val="26"/>
          <w:szCs w:val="26"/>
        </w:rPr>
        <w:t xml:space="preserve"> вступает в силу с момента подписания Решения об его утверждении, но не ранее чем через месяц после его официального опубликования.</w:t>
      </w:r>
    </w:p>
    <w:p w:rsidR="00D37798" w:rsidRDefault="00D3779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37798" w:rsidRDefault="00D37798">
      <w:pPr>
        <w:rPr>
          <w:color w:val="FF0000"/>
          <w:sz w:val="26"/>
          <w:szCs w:val="26"/>
        </w:rPr>
      </w:pPr>
    </w:p>
    <w:p w:rsidR="00D37798" w:rsidRDefault="00D37798"/>
    <w:p w:rsidR="00D37798" w:rsidRDefault="00D37798"/>
    <w:p w:rsidR="00D37798" w:rsidRDefault="00D37798">
      <w:pPr>
        <w:pStyle w:val="ConsPlusNormal"/>
        <w:widowControl/>
        <w:ind w:firstLine="567"/>
        <w:jc w:val="both"/>
        <w:rPr>
          <w:sz w:val="22"/>
          <w:szCs w:val="22"/>
        </w:rPr>
      </w:pPr>
    </w:p>
    <w:sectPr w:rsidR="00D37798">
      <w:headerReference w:type="default" r:id="rId12"/>
      <w:headerReference w:type="first" r:id="rId13"/>
      <w:pgSz w:w="11906" w:h="16838"/>
      <w:pgMar w:top="851" w:right="567" w:bottom="568" w:left="1701" w:header="72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34A" w:rsidRDefault="0008034A">
      <w:r>
        <w:separator/>
      </w:r>
    </w:p>
  </w:endnote>
  <w:endnote w:type="continuationSeparator" w:id="0">
    <w:p w:rsidR="0008034A" w:rsidRDefault="0008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34A" w:rsidRDefault="0008034A">
      <w:r>
        <w:separator/>
      </w:r>
    </w:p>
  </w:footnote>
  <w:footnote w:type="continuationSeparator" w:id="0">
    <w:p w:rsidR="0008034A" w:rsidRDefault="00080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98" w:rsidRDefault="0008034A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37798" w:rsidRDefault="0008034A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 w:rsidR="008D0ED4">
                            <w:rPr>
                              <w:rStyle w:val="af9"/>
                              <w:noProof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D37798" w:rsidRDefault="0008034A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 w:rsidR="008D0ED4">
                      <w:rPr>
                        <w:rStyle w:val="af9"/>
                        <w:noProof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98" w:rsidRDefault="00D3779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F4209"/>
    <w:multiLevelType w:val="hybridMultilevel"/>
    <w:tmpl w:val="11205556"/>
    <w:lvl w:ilvl="0" w:tplc="347A7A4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42CFC32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3D02DA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29C0232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83018E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16AFC16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E02A602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1701800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A22FBCC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98"/>
    <w:rsid w:val="0008034A"/>
    <w:rsid w:val="008D0ED4"/>
    <w:rsid w:val="00D3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8085C-D4CF-45BE-8C28-ACDEEA6B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right="43" w:firstLine="851"/>
      <w:jc w:val="center"/>
      <w:outlineLvl w:val="0"/>
    </w:p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43"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right="43"/>
      <w:jc w:val="center"/>
      <w:outlineLvl w:val="2"/>
    </w:p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right="43" w:firstLine="567"/>
      <w:outlineLvl w:val="3"/>
    </w:p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567"/>
      <w:jc w:val="both"/>
      <w:outlineLvl w:val="4"/>
    </w:pPr>
    <w:rPr>
      <w:i/>
      <w:iCs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709"/>
      <w:outlineLvl w:val="5"/>
    </w:pPr>
    <w:rPr>
      <w:i/>
      <w:iCs/>
      <w:sz w:val="16"/>
      <w:lang w:val="en-US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left="709"/>
      <w:jc w:val="center"/>
      <w:outlineLvl w:val="8"/>
    </w:pPr>
    <w:rPr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Times New Roman" w:eastAsia="Times New Roman" w:hAnsi="Times New Roman" w:cs="Times New Roman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Times New Roman" w:eastAsia="Times New Roman" w:hAnsi="Times New Roman" w:cs="Times New Roman"/>
    </w:rPr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b w:val="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  <w:rPr>
      <w:rFonts w:ascii="Times New Roman" w:eastAsia="Times New Roman" w:hAnsi="Times New Roman" w:cs="Times New Roman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Times New Roman" w:eastAsia="Times New Roman" w:hAnsi="Times New Roman" w:cs="Times New Roman"/>
    </w:rPr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  <w:rPr>
      <w:rFonts w:ascii="Times New Roman" w:eastAsia="Times New Roman" w:hAnsi="Times New Roman" w:cs="Times New Roman"/>
    </w:rPr>
  </w:style>
  <w:style w:type="character" w:customStyle="1" w:styleId="WW8Num43z0">
    <w:name w:val="WW8Num43z0"/>
    <w:qFormat/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6z0">
    <w:name w:val="WW8Num46z0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eastAsia="Times New Roman" w:hAnsi="Times New Roman" w:cs="Times New Roman"/>
    </w:rPr>
  </w:style>
  <w:style w:type="character" w:customStyle="1" w:styleId="WW8Num48z0">
    <w:name w:val="WW8Num48z0"/>
    <w:qFormat/>
  </w:style>
  <w:style w:type="character" w:styleId="af9">
    <w:name w:val="page number"/>
    <w:basedOn w:val="a0"/>
  </w:style>
  <w:style w:type="character" w:customStyle="1" w:styleId="afa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b"/>
    <w:qFormat/>
    <w:pPr>
      <w:jc w:val="center"/>
    </w:pPr>
    <w:rPr>
      <w:b/>
      <w:sz w:val="20"/>
    </w:rPr>
  </w:style>
  <w:style w:type="paragraph" w:styleId="afb">
    <w:name w:val="Body Text"/>
    <w:basedOn w:val="a"/>
    <w:pPr>
      <w:jc w:val="both"/>
    </w:pPr>
    <w:rPr>
      <w:b/>
      <w:bCs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ody Text Indent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8">
    <w:name w:val="Subtitle"/>
    <w:basedOn w:val="a"/>
    <w:next w:val="afb"/>
    <w:link w:val="a7"/>
    <w:qFormat/>
    <w:pPr>
      <w:jc w:val="center"/>
    </w:pPr>
    <w:rPr>
      <w:b/>
      <w:sz w:val="20"/>
    </w:rPr>
  </w:style>
  <w:style w:type="paragraph" w:styleId="25">
    <w:name w:val="Body Text Indent 2"/>
    <w:basedOn w:val="a"/>
    <w:qFormat/>
    <w:pPr>
      <w:ind w:firstLine="720"/>
      <w:jc w:val="both"/>
    </w:pPr>
    <w:rPr>
      <w:sz w:val="28"/>
    </w:rPr>
  </w:style>
  <w:style w:type="paragraph" w:styleId="33">
    <w:name w:val="Body Text Indent 3"/>
    <w:basedOn w:val="a"/>
    <w:qFormat/>
    <w:pPr>
      <w:ind w:firstLine="720"/>
      <w:jc w:val="both"/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f">
    <w:name w:val="Block Text"/>
    <w:basedOn w:val="a"/>
    <w:qFormat/>
    <w:pPr>
      <w:ind w:left="567" w:right="-1"/>
      <w:jc w:val="both"/>
    </w:p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sz w:val="16"/>
      <w:szCs w:val="20"/>
      <w:lang w:val="ru-RU" w:bidi="ar-SA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JOГO JARDIM x8?! PORRA! DIA 8 VOTA NГO!</dc:subject>
  <dc:creator>VOTA NГO А REGIONALIZAЗГO! SIM AO REFORЗO DO MUNICIPALISMO!</dc:creator>
  <dc:description>A REGIONALIZAЗГO Й UM ERRO COLOSSAL!</dc:description>
  <cp:lastModifiedBy>Ольга</cp:lastModifiedBy>
  <cp:revision>2</cp:revision>
  <dcterms:created xsi:type="dcterms:W3CDTF">2025-01-24T05:16:00Z</dcterms:created>
  <dcterms:modified xsi:type="dcterms:W3CDTF">2025-01-24T05:16:00Z</dcterms:modified>
  <dc:language>en-US</dc:language>
</cp:coreProperties>
</file>