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84243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9D743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Дзержинский район, </w:t>
            </w:r>
            <w:proofErr w:type="spellStart"/>
            <w:r w:rsidRPr="00464ACB">
              <w:rPr>
                <w:sz w:val="16"/>
                <w:szCs w:val="16"/>
              </w:rPr>
              <w:t>г.Кондрово</w:t>
            </w:r>
            <w:proofErr w:type="spellEnd"/>
            <w:r w:rsidRPr="00464ACB">
              <w:rPr>
                <w:sz w:val="16"/>
                <w:szCs w:val="16"/>
              </w:rPr>
              <w:t>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647D3A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2B6F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43957">
              <w:rPr>
                <w:sz w:val="20"/>
                <w:szCs w:val="20"/>
                <w:lang w:val="en-US"/>
              </w:rPr>
              <w:t>2</w:t>
            </w:r>
            <w:r w:rsidR="00C610DD">
              <w:rPr>
                <w:sz w:val="20"/>
                <w:szCs w:val="20"/>
              </w:rPr>
              <w:t>.</w:t>
            </w:r>
            <w:r w:rsidR="00A756BE">
              <w:rPr>
                <w:sz w:val="20"/>
                <w:szCs w:val="20"/>
              </w:rPr>
              <w:t>0</w:t>
            </w:r>
            <w:r w:rsidR="00643957">
              <w:rPr>
                <w:sz w:val="20"/>
                <w:szCs w:val="20"/>
                <w:lang w:val="en-US"/>
              </w:rPr>
              <w:t>7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за </w:t>
            </w:r>
            <w:r w:rsidR="00FA14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77CF3" w:rsidRPr="008E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A37047" w:rsidRDefault="00A37047" w:rsidP="00662040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-аналитических полномочий</w:t>
            </w:r>
          </w:p>
          <w:p w:rsidR="00275DF6" w:rsidRDefault="00275DF6" w:rsidP="00C43226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 </w:t>
            </w:r>
            <w:r w:rsidR="00C906F8" w:rsidRPr="00C906F8">
              <w:t>3</w:t>
            </w:r>
            <w:r>
              <w:t xml:space="preserve"> муниципальных программ муниципального района</w:t>
            </w:r>
            <w:r w:rsidR="00C906F8" w:rsidRPr="00C906F8">
              <w:t xml:space="preserve"> </w:t>
            </w:r>
            <w:r w:rsidR="00C906F8" w:rsidRPr="00EA6A6B">
              <w:t>«Дзержинский район»</w:t>
            </w:r>
            <w:r>
              <w:t xml:space="preserve">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FA1424" w:rsidRPr="00C906F8" w:rsidRDefault="00C906F8" w:rsidP="00C43226">
            <w:pPr>
              <w:spacing w:line="276" w:lineRule="auto"/>
              <w:ind w:firstLine="708"/>
              <w:jc w:val="both"/>
              <w:rPr>
                <w:iCs/>
              </w:rPr>
            </w:pPr>
            <w:r w:rsidRPr="008D5FE3">
              <w:rPr>
                <w:i/>
              </w:rPr>
              <w:t>В соответствии с п. 1.</w:t>
            </w:r>
            <w:r>
              <w:rPr>
                <w:i/>
              </w:rPr>
              <w:t>7</w:t>
            </w:r>
            <w:r w:rsidRPr="008D5FE3">
              <w:rPr>
                <w:i/>
              </w:rPr>
              <w:t>. плана работы</w:t>
            </w:r>
            <w:r>
              <w:rPr>
                <w:i/>
              </w:rPr>
              <w:t xml:space="preserve">, </w:t>
            </w:r>
            <w:r>
              <w:rPr>
                <w:iCs/>
              </w:rPr>
              <w:t>проведено экспертно-аналитическое мероприятие «Э</w:t>
            </w:r>
            <w:r w:rsidRPr="00C906F8">
              <w:rPr>
                <w:iCs/>
              </w:rPr>
              <w:t>кспертиза муниципальных правовых актов в части, касающейся расходных обязательств</w:t>
            </w:r>
            <w:r>
              <w:t xml:space="preserve"> сельского поселения».</w:t>
            </w:r>
          </w:p>
          <w:p w:rsidR="00FA1424" w:rsidRDefault="00C906F8" w:rsidP="00FA1424">
            <w:pPr>
              <w:shd w:val="clear" w:color="auto" w:fill="FFFFFF"/>
              <w:spacing w:after="150" w:line="276" w:lineRule="auto"/>
              <w:ind w:firstLine="708"/>
              <w:jc w:val="both"/>
            </w:pPr>
            <w:bookmarkStart w:id="0" w:name="dst103285"/>
            <w:bookmarkStart w:id="1" w:name="dst3798"/>
            <w:bookmarkStart w:id="2" w:name="dst3882"/>
            <w:bookmarkStart w:id="3" w:name="dst103288"/>
            <w:bookmarkEnd w:id="0"/>
            <w:bookmarkEnd w:id="1"/>
            <w:bookmarkEnd w:id="2"/>
            <w:bookmarkEnd w:id="3"/>
            <w:r>
              <w:t xml:space="preserve">В ходе экспертизы </w:t>
            </w:r>
            <w:r w:rsidR="00FA1424" w:rsidRPr="00574251">
              <w:t xml:space="preserve">проведена </w:t>
            </w:r>
            <w:r w:rsidR="00FA1424" w:rsidRPr="000869F2">
              <w:t>оценк</w:t>
            </w:r>
            <w:r w:rsidR="00FA1424">
              <w:t>а</w:t>
            </w:r>
            <w:r w:rsidR="00FA1424" w:rsidRPr="000869F2">
              <w:t xml:space="preserve"> обоснованности объемов </w:t>
            </w:r>
            <w:r>
              <w:t xml:space="preserve">муниципальных программ </w:t>
            </w:r>
            <w:r w:rsidR="00FA1424" w:rsidRPr="000869F2">
              <w:t>и источников финансирования программных мероприятий, а также их структур</w:t>
            </w:r>
            <w:r w:rsidR="00FA1424">
              <w:t>а</w:t>
            </w:r>
            <w:r w:rsidR="00FA1424" w:rsidRPr="000869F2">
              <w:t xml:space="preserve"> в разрезе целевых статей расходов</w:t>
            </w:r>
            <w:r w:rsidR="00FA1424">
              <w:t xml:space="preserve"> 2 сельских поселений.</w:t>
            </w:r>
          </w:p>
          <w:p w:rsidR="00FA1424" w:rsidRPr="00BB5776" w:rsidRDefault="00FA6F58" w:rsidP="00FA1424">
            <w:pPr>
              <w:spacing w:line="276" w:lineRule="auto"/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одном объекте проверки</w:t>
            </w:r>
            <w:r w:rsidR="00FA1424">
              <w:rPr>
                <w:b/>
                <w:i/>
              </w:rPr>
              <w:t xml:space="preserve"> установлены </w:t>
            </w:r>
            <w:r>
              <w:rPr>
                <w:b/>
                <w:i/>
              </w:rPr>
              <w:t xml:space="preserve">следующие </w:t>
            </w:r>
            <w:r w:rsidR="00FA1424">
              <w:rPr>
                <w:b/>
                <w:i/>
              </w:rPr>
              <w:t>нарушения</w:t>
            </w:r>
            <w:r w:rsidR="00FA1424" w:rsidRPr="00BB5776">
              <w:rPr>
                <w:b/>
                <w:i/>
              </w:rPr>
              <w:t xml:space="preserve"> статьи 179 БК</w:t>
            </w:r>
            <w:r>
              <w:rPr>
                <w:b/>
                <w:i/>
              </w:rPr>
              <w:t> </w:t>
            </w:r>
            <w:r w:rsidR="00FA1424" w:rsidRPr="00BB5776">
              <w:rPr>
                <w:b/>
                <w:i/>
              </w:rPr>
              <w:t>РФ</w:t>
            </w:r>
            <w:r w:rsidR="00FA1424">
              <w:rPr>
                <w:b/>
                <w:i/>
              </w:rPr>
              <w:t>: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  <w:rPr>
                <w:bCs/>
              </w:rPr>
            </w:pPr>
            <w:r w:rsidRPr="00820C52">
              <w:t xml:space="preserve">1. Наименование целевых статей в Решении о бюджете сельского поселения не </w:t>
            </w:r>
            <w:r w:rsidRPr="00820C52">
              <w:rPr>
                <w:bCs/>
              </w:rPr>
              <w:t>соответствуют наименованию мероприятий 3 муниципальных программ.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</w:pPr>
            <w:r w:rsidRPr="00820C52">
              <w:t xml:space="preserve">2. Объем финансового обеспечения на 2023 год 4 программ не соответствует бюджетным ассигнованиям в Отчете об исполнении бюджета. Расхождение </w:t>
            </w:r>
            <w:r w:rsidRPr="004D4180">
              <w:rPr>
                <w:b/>
                <w:i/>
              </w:rPr>
              <w:t>-232,4 тыс. руб.</w:t>
            </w:r>
            <w:r w:rsidRPr="00820C52">
              <w:t xml:space="preserve"> 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</w:pPr>
            <w:r w:rsidRPr="00820C52">
              <w:t xml:space="preserve">3. Объем финансового обеспечения не соответствуют утвержденным бюджетным ассигнованиям в Решении о бюджете: 1 программы на 2025 год, расхождение </w:t>
            </w:r>
            <w:r w:rsidRPr="004D4180">
              <w:rPr>
                <w:b/>
                <w:i/>
              </w:rPr>
              <w:t>-28,7 тыс. руб.</w:t>
            </w:r>
            <w:r w:rsidRPr="00820C52">
              <w:t xml:space="preserve">; 1 программы на 2024-2026 годы, расхождение </w:t>
            </w:r>
            <w:r w:rsidRPr="004D4180">
              <w:rPr>
                <w:b/>
                <w:i/>
              </w:rPr>
              <w:t>-3,0 тыс. руб.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</w:pPr>
            <w:r w:rsidRPr="00820C52">
              <w:t>4. В источниках финансирования 2 муниципальных программ не указаны иные источники.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</w:pPr>
            <w:r w:rsidRPr="00820C52">
              <w:t xml:space="preserve">5. В рамках 1 подпрограммы не запланировано мероприятие за счет средств областного бюджета на сумму </w:t>
            </w:r>
            <w:r w:rsidRPr="004D4180">
              <w:rPr>
                <w:b/>
                <w:i/>
              </w:rPr>
              <w:t>25 658,8 тыс. руб.</w:t>
            </w:r>
            <w:r w:rsidRPr="00820C52">
              <w:t xml:space="preserve">  </w:t>
            </w:r>
          </w:p>
          <w:p w:rsidR="00FA1424" w:rsidRPr="00820C52" w:rsidRDefault="00FA1424" w:rsidP="00FA1424">
            <w:pPr>
              <w:spacing w:line="276" w:lineRule="auto"/>
              <w:ind w:firstLine="709"/>
              <w:jc w:val="both"/>
            </w:pPr>
            <w:r w:rsidRPr="00820C52">
              <w:lastRenderedPageBreak/>
              <w:t>В паспортах 3 программ отсутствуют расшифровка мероприятий, указанных в бюджете.</w:t>
            </w:r>
          </w:p>
          <w:p w:rsidR="00FA1424" w:rsidRPr="00FC2B67" w:rsidRDefault="00FA1424" w:rsidP="00FA1424">
            <w:pPr>
              <w:pStyle w:val="aa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/>
                <w:i/>
              </w:rPr>
            </w:pPr>
            <w:r>
              <w:t xml:space="preserve">По результатам проверки </w:t>
            </w:r>
            <w:r w:rsidRPr="00FC2B67">
              <w:rPr>
                <w:b/>
                <w:i/>
              </w:rPr>
              <w:t xml:space="preserve">Администрации </w:t>
            </w:r>
            <w:r w:rsidRPr="00820C52">
              <w:rPr>
                <w:b/>
                <w:i/>
              </w:rPr>
              <w:t xml:space="preserve">сельского поселения </w:t>
            </w:r>
            <w:r>
              <w:rPr>
                <w:b/>
                <w:i/>
              </w:rPr>
              <w:t>рекомендовано</w:t>
            </w:r>
            <w:r w:rsidRPr="00FC2B67">
              <w:rPr>
                <w:b/>
                <w:i/>
              </w:rPr>
              <w:t>:</w:t>
            </w:r>
          </w:p>
          <w:p w:rsidR="00FA1424" w:rsidRDefault="00FA1424" w:rsidP="00FA1424">
            <w:pPr>
              <w:pStyle w:val="aa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ab/>
              <w:t>1. П</w:t>
            </w:r>
            <w:r w:rsidRPr="002349EE">
              <w:t xml:space="preserve">ривести </w:t>
            </w:r>
            <w:r>
              <w:t xml:space="preserve">финансовое обеспечение </w:t>
            </w:r>
            <w:r w:rsidRPr="00476E46">
              <w:t xml:space="preserve">на реализацию </w:t>
            </w:r>
            <w:r>
              <w:t>программных мероприятий з</w:t>
            </w:r>
            <w:r w:rsidRPr="00476E46">
              <w:t>а 202</w:t>
            </w:r>
            <w:r>
              <w:t>3</w:t>
            </w:r>
            <w:r w:rsidRPr="00476E46">
              <w:t xml:space="preserve"> год </w:t>
            </w:r>
            <w:r>
              <w:t xml:space="preserve">в </w:t>
            </w:r>
            <w:r w:rsidRPr="00476E46">
              <w:t>соответств</w:t>
            </w:r>
            <w:r>
              <w:t>ие</w:t>
            </w:r>
            <w:r w:rsidRPr="00476E46">
              <w:t xml:space="preserve"> утвержденному </w:t>
            </w:r>
            <w:r>
              <w:t>О</w:t>
            </w:r>
            <w:r w:rsidRPr="00476E46">
              <w:t>тчету об исполнении бюджета</w:t>
            </w:r>
            <w:r>
              <w:t>.</w:t>
            </w:r>
          </w:p>
          <w:p w:rsidR="00FA1424" w:rsidRDefault="00FA1424" w:rsidP="00FA1424">
            <w:pPr>
              <w:pStyle w:val="aa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ab/>
              <w:t>2. П</w:t>
            </w:r>
            <w:r w:rsidRPr="002349EE">
              <w:t xml:space="preserve">ривести </w:t>
            </w:r>
            <w:r>
              <w:t xml:space="preserve">финансовое обеспечение </w:t>
            </w:r>
            <w:r w:rsidRPr="00476E46">
              <w:t xml:space="preserve">на реализацию </w:t>
            </w:r>
            <w:r>
              <w:t xml:space="preserve">программных мероприятий на 2024-2026 годы в </w:t>
            </w:r>
            <w:r w:rsidRPr="00476E46">
              <w:t>соответств</w:t>
            </w:r>
            <w:r>
              <w:t>ие</w:t>
            </w:r>
            <w:r w:rsidRPr="00476E46">
              <w:t xml:space="preserve"> </w:t>
            </w:r>
            <w:r>
              <w:t>утвержденному Решению о бюджете.</w:t>
            </w:r>
          </w:p>
          <w:p w:rsidR="00FA1424" w:rsidRPr="002349EE" w:rsidRDefault="00FA1424" w:rsidP="00FA1424">
            <w:pPr>
              <w:pStyle w:val="aa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ab/>
              <w:t>3. Устранить замечания к текстовой части муниципальных программ.</w:t>
            </w:r>
          </w:p>
          <w:p w:rsidR="00FA6F58" w:rsidRPr="00BB5776" w:rsidRDefault="00FA6F58" w:rsidP="00FA6F58">
            <w:pPr>
              <w:spacing w:line="276" w:lineRule="auto"/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 втором объекте проверки установлены следующие нарушения</w:t>
            </w:r>
            <w:r w:rsidRPr="00BB5776">
              <w:rPr>
                <w:b/>
                <w:i/>
              </w:rPr>
              <w:t xml:space="preserve"> статьи 179 БК</w:t>
            </w:r>
            <w:r>
              <w:rPr>
                <w:b/>
                <w:i/>
              </w:rPr>
              <w:t> </w:t>
            </w:r>
            <w:r w:rsidRPr="00BB5776">
              <w:rPr>
                <w:b/>
                <w:i/>
              </w:rPr>
              <w:t>РФ</w:t>
            </w:r>
            <w:r>
              <w:rPr>
                <w:b/>
                <w:i/>
              </w:rPr>
              <w:t>:</w:t>
            </w:r>
          </w:p>
          <w:p w:rsidR="00FA1424" w:rsidRPr="00393639" w:rsidRDefault="00FA1424" w:rsidP="00FA1424">
            <w:pPr>
              <w:pStyle w:val="aa"/>
              <w:tabs>
                <w:tab w:val="left" w:pos="1134"/>
              </w:tabs>
              <w:spacing w:line="276" w:lineRule="auto"/>
              <w:ind w:left="0" w:firstLine="709"/>
              <w:jc w:val="both"/>
            </w:pPr>
            <w:r w:rsidRPr="00393639">
              <w:t>- в 3 программах неверно указаны источники финансирования;</w:t>
            </w:r>
          </w:p>
          <w:p w:rsidR="00FA1424" w:rsidRPr="00393639" w:rsidRDefault="00FA1424" w:rsidP="00FA1424">
            <w:pPr>
              <w:pStyle w:val="aa"/>
              <w:tabs>
                <w:tab w:val="left" w:pos="1134"/>
              </w:tabs>
              <w:spacing w:line="276" w:lineRule="auto"/>
              <w:ind w:left="0" w:firstLine="709"/>
              <w:jc w:val="both"/>
            </w:pPr>
            <w:r w:rsidRPr="00393639">
              <w:t xml:space="preserve">- в 1 программе объем финансового обеспечения мероприятий подпрограммы на 2024 год не соответствует бюджетным ассигнованиям в Решении о бюджете. Расхождение </w:t>
            </w:r>
            <w:r w:rsidRPr="00393639">
              <w:rPr>
                <w:b/>
                <w:i/>
              </w:rPr>
              <w:t>475,9 тыс. руб.</w:t>
            </w:r>
          </w:p>
          <w:p w:rsidR="00FA1424" w:rsidRPr="006D3324" w:rsidRDefault="00FA1424" w:rsidP="00FA1424">
            <w:pPr>
              <w:spacing w:line="276" w:lineRule="auto"/>
              <w:ind w:firstLine="709"/>
              <w:jc w:val="both"/>
            </w:pPr>
            <w:r>
              <w:t xml:space="preserve">Во всех паспортах муниципальных </w:t>
            </w:r>
            <w:r w:rsidRPr="006D3324">
              <w:t>программ не указан перечень запланированных работ и место их проведения, в 4 - отсутствуют паспорта подпрограмм, в 1 - отсутствует перечень мероприятий подпрограммы, в 1 - не указан источник финансирования.</w:t>
            </w:r>
          </w:p>
          <w:p w:rsidR="00FA1424" w:rsidRDefault="00FA1424" w:rsidP="00FA1424">
            <w:pPr>
              <w:pStyle w:val="aa"/>
              <w:tabs>
                <w:tab w:val="left" w:pos="1134"/>
              </w:tabs>
              <w:spacing w:line="276" w:lineRule="auto"/>
              <w:ind w:left="0" w:firstLine="709"/>
              <w:jc w:val="both"/>
            </w:pPr>
            <w:r>
              <w:t>По результатам проверки</w:t>
            </w:r>
            <w:r w:rsidR="006F2B6F">
              <w:t>,</w:t>
            </w:r>
            <w:r>
              <w:t xml:space="preserve"> </w:t>
            </w:r>
            <w:r w:rsidRPr="00FC2B67">
              <w:rPr>
                <w:b/>
                <w:i/>
              </w:rPr>
              <w:t xml:space="preserve">Администрации </w:t>
            </w:r>
            <w:r w:rsidRPr="00820C52">
              <w:rPr>
                <w:b/>
                <w:i/>
              </w:rPr>
              <w:t xml:space="preserve">сельского </w:t>
            </w:r>
            <w:proofErr w:type="gramStart"/>
            <w:r w:rsidRPr="00820C52">
              <w:rPr>
                <w:b/>
                <w:i/>
              </w:rPr>
              <w:t xml:space="preserve">поселения </w:t>
            </w:r>
            <w:r>
              <w:rPr>
                <w:b/>
                <w:i/>
              </w:rPr>
              <w:t xml:space="preserve"> рекомендовано</w:t>
            </w:r>
            <w:proofErr w:type="gramEnd"/>
            <w:r w:rsidRPr="00FC2B67">
              <w:rPr>
                <w:b/>
                <w:i/>
              </w:rPr>
              <w:t>:</w:t>
            </w:r>
          </w:p>
          <w:p w:rsidR="00FA1424" w:rsidRDefault="00FA1424" w:rsidP="00FA1424">
            <w:pPr>
              <w:pStyle w:val="aa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ab/>
              <w:t>1. П</w:t>
            </w:r>
            <w:r w:rsidRPr="002349EE">
              <w:t xml:space="preserve">ривести </w:t>
            </w:r>
            <w:r>
              <w:t xml:space="preserve">финансовое обеспечение на 2024 год </w:t>
            </w:r>
            <w:r w:rsidRPr="00476E46">
              <w:t xml:space="preserve">на реализацию </w:t>
            </w:r>
            <w:r>
              <w:t xml:space="preserve">мероприятий подпрограммы </w:t>
            </w:r>
            <w:r w:rsidRPr="006D3324">
              <w:t>«Благоустройство территории сельского поселения»</w:t>
            </w:r>
            <w:r>
              <w:t xml:space="preserve"> программы </w:t>
            </w:r>
            <w:r w:rsidRPr="006D3324">
              <w:t>«Развитие жилищно-коммунального хозяйства»</w:t>
            </w:r>
            <w:r w:rsidRPr="00BB5776">
              <w:rPr>
                <w:b/>
              </w:rPr>
              <w:t xml:space="preserve"> </w:t>
            </w:r>
            <w:r>
              <w:t xml:space="preserve">в </w:t>
            </w:r>
            <w:r w:rsidRPr="00476E46">
              <w:t>соответств</w:t>
            </w:r>
            <w:r>
              <w:t>ие</w:t>
            </w:r>
            <w:r w:rsidRPr="00476E46">
              <w:t xml:space="preserve"> </w:t>
            </w:r>
            <w:r>
              <w:t>утвержденному Решению о бюджете.</w:t>
            </w:r>
          </w:p>
          <w:p w:rsidR="00FA1424" w:rsidRPr="002349EE" w:rsidRDefault="00FA1424" w:rsidP="00FA1424">
            <w:pPr>
              <w:pStyle w:val="aa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tab/>
              <w:t>2. Устранить замечания к текстовой части муниципальных программ.</w:t>
            </w:r>
          </w:p>
          <w:p w:rsidR="00FA1424" w:rsidRPr="002349EE" w:rsidRDefault="00FA6F58" w:rsidP="00FA1424">
            <w:pPr>
              <w:pStyle w:val="aa"/>
              <w:tabs>
                <w:tab w:val="left" w:pos="1134"/>
              </w:tabs>
              <w:spacing w:line="276" w:lineRule="auto"/>
              <w:ind w:left="0" w:firstLine="709"/>
              <w:jc w:val="both"/>
            </w:pPr>
            <w:r>
              <w:t>Информация о ходе устранения нарушений будет предоставлена в Дзержинское Районное Собрание в отчете за июль 2024 года</w:t>
            </w:r>
            <w:r w:rsidR="00FA1424" w:rsidRPr="00014F40">
              <w:t>.</w:t>
            </w:r>
          </w:p>
          <w:p w:rsidR="000F03FB" w:rsidRDefault="000F03FB" w:rsidP="00662040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E76DCD" w:rsidRDefault="005E6B73" w:rsidP="00E76DCD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>
              <w:t xml:space="preserve">подготовлен и сдан в финансовый отдел администрации Дзержинского района ежемесячный отчет об исполнении бюджета за </w:t>
            </w:r>
            <w:r w:rsidR="00FA6F58">
              <w:t>май</w:t>
            </w:r>
            <w:r w:rsidR="00DE0150">
              <w:t xml:space="preserve">. </w:t>
            </w:r>
            <w:r w:rsidR="00DE0150" w:rsidRPr="00390B23">
              <w:t>Сдана отчетность в МИФНС России № 2 по Калужской области –</w:t>
            </w:r>
            <w:r w:rsidR="00DE0150">
              <w:t xml:space="preserve"> «Уведомление об исчисленных суммах налогов, авансовых платежей по налогам, страховых взносах», «Персонифицированн</w:t>
            </w:r>
            <w:r w:rsidR="00D44A46">
              <w:t>ые сведения о физических лицах»</w:t>
            </w:r>
            <w:r w:rsidR="00DE0150">
              <w:t>;</w:t>
            </w:r>
            <w:r w:rsidR="00DE0150" w:rsidRPr="00390B23">
              <w:t xml:space="preserve"> </w:t>
            </w:r>
            <w:r w:rsidR="00FA6F58">
              <w:t xml:space="preserve">в отдел муниципальных закупок – «Информация о заключенных муниципальных контрактах»; </w:t>
            </w:r>
            <w:r w:rsidR="0036485E">
              <w:t xml:space="preserve">в Министерство финансов Калужской области - сведения </w:t>
            </w:r>
            <w:r w:rsidR="0036485E">
              <w:t>по вопросу осуществления контроля в сфере закупок, предусмотренного частью 3 статьи 99 Федерального закона от 05.04.2013 № 44-ФЗ «</w:t>
            </w:r>
            <w:r w:rsidR="0036485E" w:rsidRPr="00F57167"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6485E">
              <w:t>»</w:t>
            </w:r>
            <w:r w:rsidR="0036485E">
              <w:t xml:space="preserve">; </w:t>
            </w:r>
            <w:r w:rsidR="00DE0150" w:rsidRPr="00390B23">
              <w:t xml:space="preserve">в Прокуратуру Дзержинского района - </w:t>
            </w:r>
            <w:r w:rsidR="00DE0150" w:rsidRPr="00986A0C">
              <w:t>по фактам допущения задолженности и случаях заключения дополнительных соглашений</w:t>
            </w:r>
            <w:r w:rsidR="00DE0150">
              <w:t xml:space="preserve">. </w:t>
            </w:r>
          </w:p>
          <w:p w:rsidR="00855580" w:rsidRPr="002121FB" w:rsidRDefault="00662040" w:rsidP="008C146E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</w:t>
            </w:r>
            <w:r w:rsidR="00452396" w:rsidRPr="002121FB">
              <w:t xml:space="preserve">участие </w:t>
            </w:r>
            <w:r w:rsidR="002121FB" w:rsidRPr="002121FB">
              <w:t xml:space="preserve">в </w:t>
            </w:r>
            <w:r w:rsidR="00855580" w:rsidRPr="002121FB">
              <w:t>видео-конференци</w:t>
            </w:r>
            <w:r w:rsidR="002121FB" w:rsidRPr="002121FB">
              <w:t>и</w:t>
            </w:r>
            <w:r w:rsidR="00855580" w:rsidRPr="002121FB">
              <w:t xml:space="preserve"> </w:t>
            </w:r>
            <w:r w:rsidR="002121FB">
              <w:t>с А</w:t>
            </w:r>
            <w:r w:rsidR="00855580" w:rsidRPr="002121FB">
              <w:t>дминистрацией Губернатора Калужской области на тему: </w:t>
            </w:r>
            <w:r w:rsidR="002121FB" w:rsidRPr="002121FB">
              <w:t>«</w:t>
            </w:r>
            <w:r w:rsidR="00855580" w:rsidRPr="002121FB">
              <w:t>Противодействие коррупции при реализации нацпроектов</w:t>
            </w:r>
            <w:r w:rsidR="002121FB" w:rsidRPr="002121FB">
              <w:t>»</w:t>
            </w:r>
            <w:r w:rsidR="002121FB">
              <w:t>, в интерактивной сессии с представителями Счетной палаты РФ, контрольно-счетными органами РФ и муниципальных образований и экспертным сообществом на тему «Психологические и этические аспекты государственного аудита», в обучающей сессии Департамента аудита регионального развития и ЖКХ РФ на тему «Актуальные вопросы осуществления капитальных вложений».</w:t>
            </w:r>
          </w:p>
          <w:p w:rsidR="00855580" w:rsidRPr="002121FB" w:rsidRDefault="002121FB" w:rsidP="008C146E">
            <w:pPr>
              <w:spacing w:line="276" w:lineRule="auto"/>
              <w:ind w:firstLine="709"/>
              <w:jc w:val="both"/>
            </w:pPr>
            <w:r>
              <w:t xml:space="preserve">Также сотрудники участвовали в очередной </w:t>
            </w:r>
            <w:r>
              <w:rPr>
                <w:lang w:val="en-US"/>
              </w:rPr>
              <w:t>XV</w:t>
            </w:r>
            <w:r>
              <w:t xml:space="preserve"> конференции Ассоциации контрольно-счетных органов Калужской области. Был утвержден отчет о работе Ассоциации за 2023 год</w:t>
            </w:r>
            <w:r w:rsidR="00647D3A">
              <w:t xml:space="preserve"> и</w:t>
            </w:r>
            <w:r>
              <w:t xml:space="preserve"> установлены основные направления деятельности</w:t>
            </w:r>
            <w:r w:rsidR="00647D3A">
              <w:t>.</w:t>
            </w:r>
          </w:p>
          <w:p w:rsidR="006F2B6F" w:rsidRDefault="006F2B6F" w:rsidP="00AF186E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bookmarkStart w:id="4" w:name="_GoBack"/>
            <w:bookmarkEnd w:id="4"/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2E6" w:rsidRDefault="003232E6" w:rsidP="00DD5A92">
      <w:r>
        <w:separator/>
      </w:r>
    </w:p>
  </w:endnote>
  <w:endnote w:type="continuationSeparator" w:id="0">
    <w:p w:rsidR="003232E6" w:rsidRDefault="003232E6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2E6" w:rsidRDefault="003232E6" w:rsidP="00DD5A92">
      <w:r>
        <w:separator/>
      </w:r>
    </w:p>
  </w:footnote>
  <w:footnote w:type="continuationSeparator" w:id="0">
    <w:p w:rsidR="003232E6" w:rsidRDefault="003232E6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B88"/>
    <w:rsid w:val="0000083E"/>
    <w:rsid w:val="00000A3A"/>
    <w:rsid w:val="000050A4"/>
    <w:rsid w:val="0000699C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935"/>
    <w:rsid w:val="0011521D"/>
    <w:rsid w:val="00120A5B"/>
    <w:rsid w:val="00126948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D9B"/>
    <w:rsid w:val="004A240A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3196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5580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146E"/>
    <w:rsid w:val="008C79FD"/>
    <w:rsid w:val="008D3593"/>
    <w:rsid w:val="008D5FE3"/>
    <w:rsid w:val="008E018F"/>
    <w:rsid w:val="008E2909"/>
    <w:rsid w:val="008E5D41"/>
    <w:rsid w:val="008E6E32"/>
    <w:rsid w:val="008F1B61"/>
    <w:rsid w:val="008F302F"/>
    <w:rsid w:val="008F48E7"/>
    <w:rsid w:val="009005C2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7FC"/>
    <w:rsid w:val="00A63939"/>
    <w:rsid w:val="00A64406"/>
    <w:rsid w:val="00A645A8"/>
    <w:rsid w:val="00A65E88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38FA"/>
    <w:rsid w:val="00B357FC"/>
    <w:rsid w:val="00B35C2D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2E0B9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220D-1858-4F84-8530-9770951A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7</cp:revision>
  <cp:lastPrinted>2024-07-02T05:53:00Z</cp:lastPrinted>
  <dcterms:created xsi:type="dcterms:W3CDTF">2024-06-05T06:06:00Z</dcterms:created>
  <dcterms:modified xsi:type="dcterms:W3CDTF">2024-07-02T05:54:00Z</dcterms:modified>
</cp:coreProperties>
</file>